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alibri" w:hAnsi="Calibri" w:eastAsia="宋体" w:cs="黑体"/>
          <w:sz w:val="84"/>
          <w:szCs w:val="84"/>
          <w:u w:val="none"/>
        </w:rPr>
      </w:pPr>
    </w:p>
    <w:p>
      <w:pPr>
        <w:jc w:val="both"/>
        <w:rPr>
          <w:rFonts w:hint="eastAsia" w:ascii="Calibri" w:hAnsi="Calibri" w:eastAsia="宋体" w:cs="黑体"/>
          <w:sz w:val="84"/>
          <w:szCs w:val="84"/>
          <w:u w:val="none"/>
        </w:rPr>
      </w:pPr>
    </w:p>
    <w:p>
      <w:pPr>
        <w:jc w:val="both"/>
        <w:rPr>
          <w:rFonts w:hint="eastAsia" w:ascii="Calibri" w:hAnsi="Calibri" w:eastAsia="宋体" w:cs="黑体"/>
          <w:sz w:val="84"/>
          <w:szCs w:val="84"/>
          <w:u w:val="none"/>
        </w:rPr>
      </w:pPr>
    </w:p>
    <w:p>
      <w:pPr>
        <w:jc w:val="both"/>
        <w:rPr>
          <w:rFonts w:hint="eastAsia" w:ascii="Calibri" w:hAnsi="Calibri" w:eastAsia="宋体" w:cs="黑体"/>
          <w:sz w:val="84"/>
          <w:szCs w:val="84"/>
          <w:u w:val="none"/>
        </w:rPr>
      </w:pPr>
    </w:p>
    <w:p>
      <w:pPr>
        <w:jc w:val="both"/>
        <w:rPr>
          <w:rFonts w:hint="eastAsia" w:ascii="Calibri" w:hAnsi="Calibri" w:eastAsia="宋体" w:cs="黑体"/>
          <w:sz w:val="84"/>
          <w:szCs w:val="84"/>
          <w:u w:val="none"/>
        </w:rPr>
      </w:pPr>
    </w:p>
    <w:p>
      <w:pPr>
        <w:jc w:val="center"/>
        <w:rPr>
          <w:rFonts w:hint="eastAsia" w:ascii="Calibri" w:hAnsi="Calibri" w:eastAsia="宋体" w:cs="黑体"/>
          <w:sz w:val="52"/>
          <w:szCs w:val="52"/>
          <w:u w:val="none"/>
        </w:rPr>
      </w:pPr>
      <w:r>
        <w:rPr>
          <w:rFonts w:hint="eastAsia" w:ascii="Calibri" w:hAnsi="Calibri" w:eastAsia="宋体" w:cs="黑体"/>
          <w:sz w:val="52"/>
          <w:szCs w:val="52"/>
          <w:u w:val="none"/>
        </w:rPr>
        <w:t>2024年海南经贸职业技术学院</w:t>
      </w:r>
      <w:r>
        <w:rPr>
          <w:rFonts w:hint="eastAsia" w:ascii="Calibri" w:hAnsi="Calibri" w:eastAsia="宋体" w:cs="黑体"/>
          <w:sz w:val="52"/>
          <w:szCs w:val="52"/>
          <w:u w:val="none"/>
          <w:lang w:eastAsia="zh-CN"/>
        </w:rPr>
        <w:t>单位</w:t>
      </w:r>
      <w:r>
        <w:rPr>
          <w:rFonts w:hint="eastAsia" w:ascii="Calibri" w:hAnsi="Calibri" w:eastAsia="宋体" w:cs="黑体"/>
          <w:sz w:val="52"/>
          <w:szCs w:val="52"/>
          <w:u w:val="none"/>
        </w:rPr>
        <w:t>预算</w:t>
      </w:r>
    </w:p>
    <w:p>
      <w:pPr>
        <w:jc w:val="center"/>
        <w:rPr>
          <w:rFonts w:hint="eastAsia" w:ascii="Calibri" w:hAnsi="Calibri" w:eastAsia="宋体" w:cs="黑体"/>
          <w:sz w:val="52"/>
          <w:szCs w:val="52"/>
          <w:u w:val="none"/>
        </w:rPr>
      </w:pPr>
    </w:p>
    <w:p>
      <w:pPr>
        <w:jc w:val="center"/>
        <w:rPr>
          <w:rFonts w:hint="eastAsia" w:ascii="Calibri" w:hAnsi="Calibri" w:eastAsia="宋体" w:cs="黑体"/>
          <w:sz w:val="52"/>
          <w:szCs w:val="52"/>
          <w:u w:val="none"/>
        </w:rPr>
      </w:pPr>
    </w:p>
    <w:p>
      <w:pPr>
        <w:rPr>
          <w:rFonts w:hint="eastAsia" w:ascii="Calibri" w:hAnsi="Calibri" w:eastAsia="宋体" w:cs="黑体"/>
          <w:sz w:val="52"/>
          <w:szCs w:val="52"/>
          <w:u w:val="none"/>
        </w:rPr>
      </w:pPr>
      <w:r>
        <w:rPr>
          <w:rFonts w:hint="eastAsia" w:ascii="Calibri" w:hAnsi="Calibri" w:eastAsia="宋体" w:cs="黑体"/>
          <w:sz w:val="52"/>
          <w:szCs w:val="52"/>
          <w:u w:val="none"/>
        </w:rPr>
        <w:br w:type="page"/>
      </w:r>
    </w:p>
    <w:p>
      <w:pPr>
        <w:jc w:val="center"/>
        <w:rPr>
          <w:rFonts w:ascii="黑体" w:hAnsi="黑体" w:eastAsia="黑体"/>
          <w:sz w:val="52"/>
          <w:szCs w:val="52"/>
          <w:u w:val="none"/>
        </w:rPr>
      </w:pPr>
      <w:r>
        <w:rPr>
          <w:rFonts w:hint="eastAsia" w:ascii="黑体" w:hAnsi="黑体" w:eastAsia="黑体"/>
          <w:sz w:val="52"/>
          <w:szCs w:val="52"/>
          <w:u w:val="none"/>
        </w:rPr>
        <w:t>目录</w:t>
      </w:r>
    </w:p>
    <w:p>
      <w:pPr>
        <w:pStyle w:val="8"/>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海南经贸职业技术学院单位</w:t>
      </w:r>
      <w:r>
        <w:rPr>
          <w:rFonts w:hint="eastAsia" w:ascii="黑体" w:hAnsi="黑体" w:eastAsia="黑体"/>
          <w:sz w:val="32"/>
          <w:szCs w:val="32"/>
          <w:u w:val="none"/>
        </w:rPr>
        <w:t>概况</w:t>
      </w:r>
    </w:p>
    <w:p>
      <w:pPr>
        <w:pStyle w:val="8"/>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8"/>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8"/>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海南经贸职业技术学院单位</w:t>
      </w:r>
      <w:r>
        <w:rPr>
          <w:rFonts w:hint="eastAsia" w:ascii="黑体" w:hAnsi="黑体" w:eastAsia="黑体"/>
          <w:sz w:val="32"/>
          <w:szCs w:val="32"/>
          <w:u w:val="none"/>
          <w:lang w:val="en-US" w:eastAsia="zh-CN"/>
        </w:rPr>
        <w:t>2024</w:t>
      </w:r>
      <w:r>
        <w:rPr>
          <w:rFonts w:hint="eastAsia" w:ascii="黑体" w:hAnsi="黑体" w:eastAsia="黑体"/>
          <w:sz w:val="32"/>
          <w:szCs w:val="32"/>
          <w:u w:val="none"/>
        </w:rPr>
        <w:t>年单位预算表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8"/>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海南经贸职业技术学院单位</w:t>
      </w:r>
      <w:r>
        <w:rPr>
          <w:rFonts w:hint="eastAsia" w:ascii="黑体" w:hAnsi="黑体" w:eastAsia="黑体"/>
          <w:sz w:val="32"/>
          <w:szCs w:val="32"/>
          <w:u w:val="none"/>
          <w:lang w:val="en-US" w:eastAsia="zh-CN"/>
        </w:rPr>
        <w:t>2024</w:t>
      </w:r>
      <w:r>
        <w:rPr>
          <w:rFonts w:hint="eastAsia" w:ascii="黑体" w:hAnsi="黑体" w:eastAsia="黑体"/>
          <w:sz w:val="32"/>
          <w:szCs w:val="32"/>
          <w:u w:val="none"/>
        </w:rPr>
        <w:t>年单位预算情况说明</w:t>
      </w:r>
    </w:p>
    <w:p>
      <w:pPr>
        <w:pStyle w:val="8"/>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8"/>
        <w:ind w:left="1320" w:firstLine="0" w:firstLineChars="0"/>
        <w:jc w:val="left"/>
        <w:rPr>
          <w:rFonts w:ascii="黑体" w:hAnsi="黑体" w:eastAsia="黑体"/>
          <w:sz w:val="32"/>
          <w:szCs w:val="32"/>
          <w:u w:val="none"/>
        </w:rPr>
      </w:pPr>
    </w:p>
    <w:p>
      <w:pPr>
        <w:pStyle w:val="8"/>
        <w:numPr>
          <w:ilvl w:val="0"/>
          <w:numId w:val="0"/>
        </w:numPr>
        <w:ind w:leftChars="0"/>
        <w:jc w:val="center"/>
        <w:rPr>
          <w:rFonts w:hint="eastAsia" w:ascii="黑体" w:hAnsi="黑体" w:eastAsia="黑体"/>
          <w:sz w:val="32"/>
          <w:szCs w:val="32"/>
          <w:u w:val="none"/>
          <w:lang w:val="en-US" w:eastAsia="zh-CN"/>
        </w:rPr>
      </w:pPr>
    </w:p>
    <w:p>
      <w:pPr>
        <w:pStyle w:val="8"/>
        <w:numPr>
          <w:ilvl w:val="0"/>
          <w:numId w:val="0"/>
        </w:numPr>
        <w:ind w:leftChars="0"/>
        <w:jc w:val="center"/>
        <w:rPr>
          <w:rFonts w:hint="eastAsia" w:ascii="黑体" w:hAnsi="黑体" w:eastAsia="黑体"/>
          <w:sz w:val="32"/>
          <w:szCs w:val="32"/>
          <w:u w:val="none"/>
          <w:lang w:val="en-US" w:eastAsia="zh-CN"/>
        </w:rPr>
      </w:pPr>
    </w:p>
    <w:p>
      <w:pPr>
        <w:pStyle w:val="8"/>
        <w:numPr>
          <w:ilvl w:val="0"/>
          <w:numId w:val="0"/>
        </w:numPr>
        <w:ind w:leftChars="0"/>
        <w:jc w:val="center"/>
        <w:rPr>
          <w:rFonts w:hint="eastAsia" w:ascii="黑体" w:hAnsi="黑体" w:eastAsia="黑体"/>
          <w:sz w:val="32"/>
          <w:szCs w:val="32"/>
          <w:u w:val="none"/>
          <w:lang w:val="en-US" w:eastAsia="zh-CN"/>
        </w:rPr>
      </w:pPr>
    </w:p>
    <w:p>
      <w:pPr>
        <w:pStyle w:val="8"/>
        <w:numPr>
          <w:ilvl w:val="0"/>
          <w:numId w:val="0"/>
        </w:numPr>
        <w:ind w:leftChars="0"/>
        <w:jc w:val="center"/>
        <w:rPr>
          <w:rFonts w:hint="eastAsia" w:ascii="黑体" w:hAnsi="黑体" w:eastAsia="黑体"/>
          <w:sz w:val="32"/>
          <w:szCs w:val="32"/>
          <w:u w:val="none"/>
        </w:rPr>
      </w:pPr>
      <w:r>
        <w:rPr>
          <w:rFonts w:hint="eastAsia" w:ascii="黑体" w:hAnsi="黑体" w:eastAsia="黑体"/>
          <w:sz w:val="32"/>
          <w:szCs w:val="32"/>
          <w:u w:val="none"/>
          <w:lang w:val="en-US" w:eastAsia="zh-CN"/>
        </w:rPr>
        <w:t>第一部分  海南经贸职业技术学院单位</w:t>
      </w:r>
      <w:r>
        <w:rPr>
          <w:rFonts w:hint="eastAsia" w:ascii="黑体" w:hAnsi="黑体" w:eastAsia="黑体"/>
          <w:sz w:val="32"/>
          <w:szCs w:val="32"/>
          <w:u w:val="none"/>
        </w:rPr>
        <w:t>概况</w:t>
      </w:r>
    </w:p>
    <w:p>
      <w:pPr>
        <w:pStyle w:val="8"/>
        <w:numPr>
          <w:ilvl w:val="0"/>
          <w:numId w:val="0"/>
        </w:numPr>
        <w:ind w:leftChars="0"/>
        <w:jc w:val="center"/>
        <w:rPr>
          <w:rFonts w:hint="eastAsia" w:ascii="黑体" w:hAnsi="黑体" w:eastAsia="黑体"/>
          <w:sz w:val="32"/>
          <w:szCs w:val="32"/>
          <w:u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海南经贸职业技术学院系隶属于海南省教育厅的副厅级差额拨款事业单位，于2004年7月5日经海南省人民政府“琼府函【2004】41号”文件批复，由海南省对外贸易学校升格成立，并取得海南省事业单位登记管理局核发的“事证第12460000428201110J号”《事业单位法人证书》。</w:t>
      </w:r>
    </w:p>
    <w:p>
      <w:pPr>
        <w:pStyle w:val="8"/>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textAlignment w:val="auto"/>
        <w:rPr>
          <w:rFonts w:hint="eastAsia" w:ascii="黑体" w:hAnsi="黑体" w:eastAsia="黑体"/>
          <w:sz w:val="32"/>
          <w:szCs w:val="32"/>
          <w:u w:val="none"/>
          <w:lang w:val="en-US" w:eastAsia="zh-CN"/>
        </w:rPr>
      </w:pPr>
      <w:r>
        <w:rPr>
          <w:rFonts w:hint="eastAsia" w:ascii="黑体" w:hAnsi="黑体" w:eastAsia="黑体"/>
          <w:sz w:val="32"/>
          <w:szCs w:val="32"/>
          <w:u w:val="none"/>
          <w:lang w:val="en-US" w:eastAsia="zh-CN"/>
        </w:rPr>
        <w:t>主要职能</w:t>
      </w:r>
    </w:p>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以培养高等专科学历经贸人才、促进经济发展为办学宗旨，业务范围包括高等经贸职业教育、大专和本科函授教育、各类职业技术培训和职业技能鉴定。</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我院设有党政办公室、组织人事处等管理机构13个，财务管理学院、国际贸易学院等教学单位12个，图书馆、高等职业教育研究所等教辅单位5个，共计30个二级部门和单位。</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我院2023年末编制人数总量为794人,其中，事业编制人数656人，员额编制人数138人。实际教职工人数为759人，其中，在编人数601人，聘用人员156人，遗属2人。教职工人数比上一年增加12人，变动主要原因为2023年度招聘专任教师、辅导员。</w:t>
      </w:r>
    </w:p>
    <w:p>
      <w:pPr>
        <w:pStyle w:val="8"/>
        <w:numPr>
          <w:ilvl w:val="0"/>
          <w:numId w:val="4"/>
        </w:numPr>
        <w:ind w:left="0" w:leftChars="0" w:firstLine="640" w:firstLineChars="200"/>
        <w:jc w:val="left"/>
        <w:rPr>
          <w:rFonts w:hint="eastAsia"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8"/>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无此类情况。</w:t>
      </w:r>
    </w:p>
    <w:p>
      <w:pPr>
        <w:pStyle w:val="8"/>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highlight w:val="none"/>
          <w:u w:val="none"/>
          <w:lang w:val="en-US" w:eastAsia="zh-CN" w:bidi="ar-SA"/>
        </w:rPr>
      </w:pPr>
    </w:p>
    <w:p>
      <w:pPr>
        <w:pStyle w:val="8"/>
        <w:numPr>
          <w:ilvl w:val="0"/>
          <w:numId w:val="0"/>
        </w:numPr>
        <w:ind w:leftChars="0"/>
        <w:jc w:val="center"/>
        <w:rPr>
          <w:rFonts w:hint="eastAsia" w:ascii="黑体" w:hAnsi="黑体" w:eastAsia="黑体"/>
          <w:sz w:val="32"/>
          <w:szCs w:val="32"/>
          <w:u w:val="none"/>
        </w:rPr>
      </w:pPr>
      <w:r>
        <w:rPr>
          <w:rFonts w:hint="eastAsia" w:ascii="黑体" w:hAnsi="黑体" w:eastAsia="黑体"/>
          <w:sz w:val="32"/>
          <w:szCs w:val="32"/>
          <w:u w:val="none"/>
          <w:lang w:val="en-US" w:eastAsia="zh-CN"/>
        </w:rPr>
        <w:t>第二部分  海南经贸职业技术学院</w:t>
      </w:r>
      <w:r>
        <w:rPr>
          <w:rFonts w:hint="eastAsia" w:ascii="黑体" w:hAnsi="黑体" w:eastAsia="黑体"/>
          <w:sz w:val="32"/>
          <w:szCs w:val="32"/>
          <w:u w:val="none"/>
        </w:rPr>
        <w:t>单位</w:t>
      </w:r>
      <w:r>
        <w:rPr>
          <w:rFonts w:hint="eastAsia" w:ascii="黑体" w:hAnsi="黑体" w:eastAsia="黑体"/>
          <w:sz w:val="32"/>
          <w:szCs w:val="32"/>
          <w:u w:val="none"/>
          <w:lang w:val="en-US" w:eastAsia="zh-CN"/>
        </w:rPr>
        <w:t>2024年单位</w:t>
      </w:r>
      <w:r>
        <w:rPr>
          <w:rFonts w:hint="eastAsia" w:ascii="黑体" w:hAnsi="黑体" w:eastAsia="黑体"/>
          <w:sz w:val="32"/>
          <w:szCs w:val="32"/>
          <w:u w:val="none"/>
        </w:rPr>
        <w:t>预算表</w:t>
      </w:r>
    </w:p>
    <w:p>
      <w:pPr>
        <w:pStyle w:val="8"/>
        <w:numPr>
          <w:ilvl w:val="0"/>
          <w:numId w:val="0"/>
        </w:numPr>
        <w:ind w:leftChars="0"/>
        <w:jc w:val="center"/>
        <w:rPr>
          <w:rFonts w:hint="eastAsia" w:ascii="黑体" w:hAnsi="黑体" w:eastAsia="黑体"/>
          <w:sz w:val="32"/>
          <w:szCs w:val="32"/>
          <w:u w:val="none"/>
        </w:rPr>
      </w:pPr>
    </w:p>
    <w:p>
      <w:pPr>
        <w:jc w:val="center"/>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（此部分内容详见单位预算公开表）</w:t>
      </w:r>
    </w:p>
    <w:p>
      <w:pPr>
        <w:pStyle w:val="2"/>
        <w:rPr>
          <w:rFonts w:hint="eastAsia"/>
          <w:lang w:val="en-US" w:eastAsia="zh-CN"/>
        </w:rPr>
      </w:pPr>
    </w:p>
    <w:p>
      <w:pPr>
        <w:ind w:left="1508" w:leftChars="57" w:hanging="1388" w:hangingChars="434"/>
        <w:jc w:val="left"/>
        <w:rPr>
          <w:rFonts w:ascii="黑体" w:hAnsi="黑体" w:eastAsia="黑体"/>
          <w:sz w:val="32"/>
          <w:szCs w:val="32"/>
          <w:u w:val="none"/>
        </w:rPr>
      </w:pPr>
      <w:r>
        <w:rPr>
          <w:rFonts w:hint="eastAsia" w:ascii="黑体" w:hAnsi="黑体" w:eastAsia="黑体"/>
          <w:sz w:val="32"/>
          <w:szCs w:val="32"/>
          <w:u w:val="none"/>
        </w:rPr>
        <w:t>第三部分</w:t>
      </w:r>
      <w:r>
        <w:rPr>
          <w:rFonts w:hint="eastAsia" w:ascii="黑体" w:hAnsi="黑体" w:eastAsia="黑体"/>
          <w:sz w:val="32"/>
          <w:szCs w:val="32"/>
          <w:u w:val="none"/>
          <w:lang w:val="en-US" w:eastAsia="zh-CN"/>
        </w:rPr>
        <w:t xml:space="preserve">  </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w:t>
      </w:r>
      <w:r>
        <w:rPr>
          <w:rFonts w:hint="eastAsia" w:ascii="黑体" w:hAnsi="黑体" w:eastAsia="黑体" w:cs="黑体"/>
          <w:sz w:val="32"/>
          <w:szCs w:val="32"/>
          <w:highlight w:val="none"/>
          <w:u w:val="none"/>
          <w:lang w:eastAsia="zh-CN"/>
        </w:rPr>
        <w:t>年单位</w:t>
      </w:r>
      <w:r>
        <w:rPr>
          <w:rFonts w:hint="eastAsia" w:ascii="黑体" w:hAnsi="黑体" w:eastAsia="黑体"/>
          <w:sz w:val="32"/>
          <w:szCs w:val="32"/>
          <w:u w:val="none"/>
        </w:rPr>
        <w:t>预算</w:t>
      </w:r>
      <w:r>
        <w:rPr>
          <w:rFonts w:hint="eastAsia" w:ascii="黑体" w:hAnsi="黑体" w:eastAsia="黑体"/>
          <w:sz w:val="32"/>
          <w:szCs w:val="32"/>
          <w:u w:val="none"/>
          <w:lang w:eastAsia="zh-CN"/>
        </w:rPr>
        <w:t>情</w:t>
      </w:r>
      <w:r>
        <w:rPr>
          <w:rFonts w:hint="eastAsia" w:ascii="黑体" w:hAnsi="黑体" w:eastAsia="黑体"/>
          <w:sz w:val="32"/>
          <w:szCs w:val="32"/>
          <w:u w:val="none"/>
        </w:rPr>
        <w:t>况说明</w:t>
      </w:r>
    </w:p>
    <w:p>
      <w:pPr>
        <w:jc w:val="center"/>
        <w:rPr>
          <w:rFonts w:hint="eastAsia" w:ascii="仿宋_GB2312" w:hAnsi="仿宋_GB2312" w:eastAsia="仿宋_GB2312" w:cs="仿宋_GB2312"/>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一、关于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经贸职业技术学院单位2024年财政拨款收支预算情况的总体说明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学院2024年财政拨款收支总预算26,641.71万元，比上年预算数减少1,653.11万元，主要原因是当年一般财政预算拨款收入较上年减少。其中，收入总计26,641.71万元，包括一般公共预算当年收入24,892.49万元、上年结转1,749.23万元；支出总计26,641.71万元，包括教育支出23,698.36万元、一般公共服务支出4.00万元、 科学技术支出146.18万元、社会保障和就业支出1,501.86万元、卫生健康支出476.83万元、住房保障支出814.48万元。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黑体" w:hAnsi="黑体" w:eastAsia="黑体" w:cs="黑体"/>
          <w:sz w:val="32"/>
          <w:szCs w:val="32"/>
          <w:highlight w:val="none"/>
          <w:u w:val="none"/>
          <w:lang w:val="en-US" w:eastAsia="zh-CN"/>
        </w:rPr>
        <w:t>二、关于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经贸职业技术学院单位2024年一般公共预算当年拨款情况说明</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黑体" w:eastAsia="仿宋_GB2312"/>
          <w:sz w:val="32"/>
          <w:szCs w:val="32"/>
          <w:u w:val="none"/>
        </w:rPr>
      </w:pPr>
      <w:r>
        <w:rPr>
          <w:rFonts w:hint="eastAsia" w:ascii="仿宋_GB2312" w:hAnsi="黑体" w:eastAsia="仿宋_GB2312"/>
          <w:sz w:val="32"/>
          <w:szCs w:val="32"/>
          <w:u w:val="none"/>
          <w:lang w:eastAsia="zh-CN"/>
        </w:rPr>
        <w:t>学院2024年一般公共预算当年拨款26,641.71万元，比上年预算数减少1,653.11万元，主要原因为现代职业教育质量提升计划专项拨款减少及招收学生数量减少导致。</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hint="eastAsia" w:ascii="仿宋_GB2312" w:hAnsi="黑体" w:eastAsia="仿宋_GB2312"/>
          <w:sz w:val="32"/>
          <w:szCs w:val="32"/>
          <w:u w:val="none"/>
          <w:lang w:eastAsia="zh-CN"/>
        </w:rPr>
      </w:pP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w:t>
      </w:r>
      <w:r>
        <w:rPr>
          <w:rFonts w:hint="eastAsia" w:ascii="仿宋_GB2312" w:hAnsi="仿宋_GB2312" w:eastAsia="仿宋_GB2312" w:cs="仿宋_GB2312"/>
          <w:kern w:val="2"/>
          <w:sz w:val="32"/>
          <w:szCs w:val="32"/>
          <w:highlight w:val="none"/>
          <w:u w:val="none"/>
          <w:lang w:val="en-US" w:eastAsia="zh-CN" w:bidi="ar-SA"/>
        </w:rPr>
        <w:t>23,698.36</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88.95</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rPr>
        <w:t>一般公共服务（类）支出</w:t>
      </w:r>
      <w:r>
        <w:rPr>
          <w:rFonts w:hint="eastAsia" w:ascii="仿宋_GB2312" w:hAnsi="仿宋_GB2312" w:eastAsia="仿宋_GB2312" w:cs="仿宋_GB2312"/>
          <w:kern w:val="2"/>
          <w:sz w:val="32"/>
          <w:szCs w:val="32"/>
          <w:u w:val="none"/>
          <w:lang w:val="en-US" w:eastAsia="zh-CN" w:bidi="ar-SA"/>
        </w:rPr>
        <w:t>4.00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0.02</w:t>
      </w:r>
      <w:r>
        <w:rPr>
          <w:rFonts w:hint="eastAsia" w:ascii="仿宋_GB2312" w:hAnsi="黑体" w:eastAsia="仿宋_GB2312"/>
          <w:sz w:val="32"/>
          <w:szCs w:val="32"/>
          <w:u w:val="none"/>
        </w:rPr>
        <w:t>%；</w:t>
      </w:r>
      <w:r>
        <w:rPr>
          <w:rFonts w:hint="eastAsia" w:ascii="仿宋_GB2312" w:hAnsi="仿宋_GB2312" w:eastAsia="仿宋_GB2312" w:cs="仿宋_GB2312"/>
          <w:kern w:val="2"/>
          <w:sz w:val="32"/>
          <w:szCs w:val="32"/>
          <w:u w:val="none"/>
          <w:lang w:val="en-US" w:eastAsia="zh-CN" w:bidi="ar-SA"/>
        </w:rPr>
        <w:t>科学技术支出146.18万元，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lang w:val="en-US" w:eastAsia="zh-CN"/>
        </w:rPr>
        <w:t>0.55</w:t>
      </w:r>
      <w:r>
        <w:rPr>
          <w:rFonts w:hint="eastAsia" w:ascii="仿宋_GB2312" w:hAnsi="黑体" w:eastAsia="仿宋_GB2312"/>
          <w:sz w:val="32"/>
          <w:szCs w:val="32"/>
          <w:u w:val="none"/>
        </w:rPr>
        <w:t>%；</w:t>
      </w:r>
      <w:r>
        <w:rPr>
          <w:rFonts w:hint="eastAsia" w:ascii="仿宋_GB2312" w:hAnsi="仿宋_GB2312" w:eastAsia="仿宋_GB2312" w:cs="仿宋_GB2312"/>
          <w:kern w:val="2"/>
          <w:sz w:val="32"/>
          <w:szCs w:val="32"/>
          <w:u w:val="none"/>
          <w:lang w:val="en-US" w:eastAsia="zh-CN" w:bidi="ar-SA"/>
        </w:rPr>
        <w:t>社会保障和就业支出1,501.86万元，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lang w:val="en-US" w:eastAsia="zh-CN"/>
        </w:rPr>
        <w:t>5.64</w:t>
      </w:r>
      <w:r>
        <w:rPr>
          <w:rFonts w:hint="eastAsia" w:ascii="仿宋_GB2312" w:hAnsi="黑体" w:eastAsia="仿宋_GB2312"/>
          <w:sz w:val="32"/>
          <w:szCs w:val="32"/>
          <w:u w:val="none"/>
        </w:rPr>
        <w:t>%；</w:t>
      </w:r>
      <w:r>
        <w:rPr>
          <w:rFonts w:hint="eastAsia" w:ascii="仿宋_GB2312" w:hAnsi="仿宋_GB2312" w:eastAsia="仿宋_GB2312" w:cs="仿宋_GB2312"/>
          <w:kern w:val="2"/>
          <w:sz w:val="32"/>
          <w:szCs w:val="32"/>
          <w:u w:val="none"/>
          <w:lang w:val="en-US" w:eastAsia="zh-CN" w:bidi="ar-SA"/>
        </w:rPr>
        <w:t>卫生健康支出476.83万元，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lang w:val="en-US" w:eastAsia="zh-CN"/>
        </w:rPr>
        <w:t>1.79</w:t>
      </w:r>
      <w:r>
        <w:rPr>
          <w:rFonts w:hint="eastAsia" w:ascii="仿宋_GB2312" w:hAnsi="黑体" w:eastAsia="仿宋_GB2312"/>
          <w:sz w:val="32"/>
          <w:szCs w:val="32"/>
          <w:u w:val="none"/>
        </w:rPr>
        <w:t>%；</w:t>
      </w:r>
      <w:r>
        <w:rPr>
          <w:rFonts w:hint="eastAsia" w:ascii="仿宋_GB2312" w:hAnsi="仿宋_GB2312" w:eastAsia="仿宋_GB2312" w:cs="仿宋_GB2312"/>
          <w:kern w:val="2"/>
          <w:sz w:val="32"/>
          <w:szCs w:val="32"/>
          <w:u w:val="none"/>
          <w:lang w:val="en-US" w:eastAsia="zh-CN" w:bidi="ar-SA"/>
        </w:rPr>
        <w:t>住房保障支出814.48万元，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lang w:val="en-US" w:eastAsia="zh-CN"/>
        </w:rPr>
        <w:t>3.05</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1.教育支出（类）职业教育（款）高等职业教育（项）202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年预算数为23,686.36万元，比上年预算数</w:t>
      </w:r>
      <w:r>
        <w:rPr>
          <w:rFonts w:hint="eastAsia" w:ascii="仿宋_GB2312" w:hAnsi="黑体" w:eastAsia="仿宋_GB2312" w:cs="仿宋_GB2312"/>
          <w:sz w:val="32"/>
          <w:szCs w:val="32"/>
          <w:u w:val="none"/>
          <w:lang w:val="en-US" w:eastAsia="zh-CN"/>
        </w:rPr>
        <w:t>减少</w:t>
      </w:r>
      <w:r>
        <w:rPr>
          <w:rFonts w:hint="eastAsia" w:ascii="仿宋_GB2312" w:hAnsi="黑体" w:eastAsia="仿宋_GB2312" w:cs="仿宋_GB2312"/>
          <w:sz w:val="32"/>
          <w:szCs w:val="32"/>
          <w:u w:val="none"/>
        </w:rPr>
        <w:t>2</w:t>
      </w:r>
      <w:r>
        <w:rPr>
          <w:rFonts w:hint="eastAsia" w:ascii="仿宋_GB2312" w:hAnsi="黑体" w:eastAsia="仿宋_GB2312" w:cs="仿宋_GB2312"/>
          <w:sz w:val="32"/>
          <w:szCs w:val="32"/>
          <w:u w:val="none"/>
          <w:lang w:val="en-US" w:eastAsia="zh-CN"/>
        </w:rPr>
        <w:t>,</w:t>
      </w:r>
      <w:r>
        <w:rPr>
          <w:rFonts w:hint="eastAsia" w:ascii="仿宋_GB2312" w:hAnsi="黑体" w:eastAsia="仿宋_GB2312" w:cs="仿宋_GB2312"/>
          <w:sz w:val="32"/>
          <w:szCs w:val="32"/>
          <w:u w:val="none"/>
        </w:rPr>
        <w:t>048.92万元，</w:t>
      </w:r>
      <w:r>
        <w:rPr>
          <w:rFonts w:hint="eastAsia" w:ascii="仿宋_GB2312" w:hAnsi="黑体" w:eastAsia="仿宋_GB2312" w:cs="仿宋_GB2312"/>
          <w:sz w:val="32"/>
          <w:szCs w:val="32"/>
          <w:u w:val="none"/>
          <w:lang w:val="en-US" w:eastAsia="zh-CN"/>
        </w:rPr>
        <w:t>主要原因是</w:t>
      </w:r>
      <w:r>
        <w:rPr>
          <w:rFonts w:hint="eastAsia" w:ascii="仿宋_GB2312" w:hAnsi="黑体" w:eastAsia="仿宋_GB2312" w:cs="仿宋_GB2312"/>
          <w:sz w:val="32"/>
          <w:szCs w:val="32"/>
          <w:u w:val="none"/>
        </w:rPr>
        <w:t>现代职业教育质量提升计划专项拨款</w:t>
      </w:r>
      <w:r>
        <w:rPr>
          <w:rFonts w:hint="eastAsia" w:ascii="仿宋_GB2312" w:hAnsi="黑体" w:eastAsia="仿宋_GB2312" w:cs="仿宋_GB2312"/>
          <w:sz w:val="32"/>
          <w:szCs w:val="32"/>
          <w:u w:val="none"/>
          <w:lang w:val="en-US" w:eastAsia="zh-CN"/>
        </w:rPr>
        <w:t>减少</w:t>
      </w:r>
      <w:r>
        <w:rPr>
          <w:rFonts w:hint="eastAsia" w:ascii="仿宋_GB2312" w:hAnsi="黑体" w:eastAsia="仿宋_GB2312" w:cs="仿宋_GB2312"/>
          <w:sz w:val="32"/>
          <w:szCs w:val="32"/>
          <w:u w:val="none"/>
        </w:rPr>
        <w:t>和招收学生数量</w:t>
      </w:r>
      <w:r>
        <w:rPr>
          <w:rFonts w:hint="eastAsia" w:ascii="仿宋_GB2312" w:hAnsi="黑体" w:eastAsia="仿宋_GB2312" w:cs="仿宋_GB2312"/>
          <w:sz w:val="32"/>
          <w:szCs w:val="32"/>
          <w:u w:val="none"/>
          <w:lang w:val="en-US" w:eastAsia="zh-CN"/>
        </w:rPr>
        <w:t>减少</w:t>
      </w:r>
      <w:r>
        <w:rPr>
          <w:rFonts w:hint="eastAsia" w:ascii="仿宋_GB2312" w:hAnsi="黑体"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.教育支出（类）留学教育（款）来华留学教育（项）202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12.00</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val="en-US" w:eastAsia="zh-CN"/>
        </w:rPr>
        <w:t>减少24.00</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主要原因是来琼留学生人数减少</w:t>
      </w:r>
      <w:r>
        <w:rPr>
          <w:rFonts w:hint="eastAsia" w:ascii="仿宋_GB2312" w:hAnsi="黑体"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一般公共服务支出（类）知识产权事务（款）其他知识产权事务支出（项）202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4.00</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val="en-US" w:eastAsia="zh-CN"/>
        </w:rPr>
        <w:t>增加3.2</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主要原因是申请专利数增加</w:t>
      </w:r>
      <w:r>
        <w:rPr>
          <w:rFonts w:hint="eastAsia" w:ascii="仿宋_GB2312" w:hAnsi="黑体"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黑体" w:eastAsia="仿宋_GB2312" w:cs="仿宋_GB2312"/>
          <w:kern w:val="2"/>
          <w:sz w:val="32"/>
          <w:szCs w:val="32"/>
          <w:u w:val="none"/>
          <w:lang w:val="en-US" w:eastAsia="zh-CN" w:bidi="ar-SA"/>
        </w:rPr>
      </w:pPr>
      <w:r>
        <w:rPr>
          <w:rFonts w:hint="eastAsia" w:ascii="仿宋_GB2312" w:hAnsi="黑体" w:eastAsia="仿宋_GB2312" w:cs="仿宋_GB2312"/>
          <w:kern w:val="2"/>
          <w:sz w:val="32"/>
          <w:szCs w:val="32"/>
          <w:u w:val="none"/>
          <w:lang w:val="en-US" w:eastAsia="zh-CN" w:bidi="ar-SA"/>
        </w:rPr>
        <w:t>4.</w:t>
      </w:r>
      <w:r>
        <w:rPr>
          <w:rFonts w:hint="eastAsia" w:ascii="仿宋_GB2312" w:hAnsi="黑体" w:eastAsia="仿宋_GB2312" w:cs="仿宋_GB2312"/>
          <w:sz w:val="32"/>
          <w:szCs w:val="32"/>
          <w:u w:val="none"/>
        </w:rPr>
        <w:t>科学技术支出（类）基础研究（款）自然科学基金（项）202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78.56</w:t>
      </w:r>
      <w:r>
        <w:rPr>
          <w:rFonts w:hint="eastAsia" w:ascii="仿宋_GB2312" w:hAnsi="黑体" w:eastAsia="仿宋_GB2312" w:cs="仿宋_GB2312"/>
          <w:sz w:val="32"/>
          <w:szCs w:val="32"/>
          <w:u w:val="none"/>
        </w:rPr>
        <w:t>万元，比上年预算数</w:t>
      </w:r>
      <w:r>
        <w:rPr>
          <w:rFonts w:hint="eastAsia" w:hAnsi="黑体" w:cs="仿宋_GB2312"/>
          <w:sz w:val="32"/>
          <w:szCs w:val="32"/>
          <w:u w:val="none"/>
          <w:lang w:val="en-US" w:eastAsia="zh-CN"/>
        </w:rPr>
        <w:t>减少</w:t>
      </w:r>
      <w:r>
        <w:rPr>
          <w:rFonts w:hint="eastAsia" w:ascii="仿宋_GB2312" w:hAnsi="黑体" w:eastAsia="仿宋_GB2312" w:cs="仿宋_GB2312"/>
          <w:sz w:val="32"/>
          <w:szCs w:val="32"/>
          <w:u w:val="none"/>
          <w:lang w:val="en-US" w:eastAsia="zh-CN"/>
        </w:rPr>
        <w:t>7.37</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w:t>
      </w:r>
      <w:r>
        <w:rPr>
          <w:rFonts w:hint="eastAsia" w:hAnsi="黑体" w:cs="仿宋_GB2312"/>
          <w:sz w:val="32"/>
          <w:szCs w:val="32"/>
          <w:u w:val="none"/>
          <w:lang w:val="en-US" w:eastAsia="zh-CN"/>
        </w:rPr>
        <w:t>自然</w:t>
      </w:r>
      <w:r>
        <w:rPr>
          <w:rFonts w:hint="eastAsia" w:ascii="仿宋_GB2312" w:hAnsi="黑体" w:eastAsia="仿宋_GB2312" w:cs="仿宋_GB2312"/>
          <w:sz w:val="32"/>
          <w:szCs w:val="32"/>
          <w:u w:val="none"/>
        </w:rPr>
        <w:t>科学基金</w:t>
      </w:r>
      <w:r>
        <w:rPr>
          <w:rFonts w:hint="eastAsia" w:hAnsi="黑体" w:cs="仿宋_GB2312"/>
          <w:sz w:val="32"/>
          <w:szCs w:val="32"/>
          <w:u w:val="none"/>
          <w:lang w:val="en-US" w:eastAsia="zh-CN"/>
        </w:rPr>
        <w:t>部分课题已结题</w:t>
      </w:r>
      <w:r>
        <w:rPr>
          <w:rFonts w:hint="eastAsia" w:ascii="仿宋_GB2312" w:hAnsi="黑体"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黑体" w:eastAsia="仿宋_GB2312" w:cs="仿宋_GB2312"/>
          <w:kern w:val="2"/>
          <w:sz w:val="32"/>
          <w:szCs w:val="32"/>
          <w:u w:val="none"/>
          <w:lang w:val="en-US" w:eastAsia="zh-CN" w:bidi="ar-SA"/>
        </w:rPr>
      </w:pPr>
      <w:r>
        <w:rPr>
          <w:rFonts w:hint="eastAsia" w:hAnsi="黑体" w:cs="仿宋_GB2312"/>
          <w:kern w:val="2"/>
          <w:sz w:val="32"/>
          <w:szCs w:val="32"/>
          <w:u w:val="none"/>
          <w:lang w:val="en-US" w:eastAsia="zh-CN" w:bidi="ar-SA"/>
        </w:rPr>
        <w:t>5</w:t>
      </w:r>
      <w:r>
        <w:rPr>
          <w:rFonts w:hint="eastAsia" w:ascii="仿宋_GB2312" w:hAnsi="黑体" w:eastAsia="仿宋_GB2312" w:cs="仿宋_GB2312"/>
          <w:kern w:val="2"/>
          <w:sz w:val="32"/>
          <w:szCs w:val="32"/>
          <w:u w:val="none"/>
          <w:lang w:val="en-US" w:eastAsia="zh-CN" w:bidi="ar-SA"/>
        </w:rPr>
        <w:t>.</w:t>
      </w:r>
      <w:r>
        <w:rPr>
          <w:rFonts w:hint="eastAsia" w:ascii="仿宋_GB2312" w:hAnsi="黑体" w:eastAsia="仿宋_GB2312" w:cs="仿宋_GB2312"/>
          <w:sz w:val="32"/>
          <w:szCs w:val="32"/>
          <w:u w:val="none"/>
        </w:rPr>
        <w:t>科学技术支出（类）应用研究（款）社会公益研究（项）202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1.33</w:t>
      </w:r>
      <w:r>
        <w:rPr>
          <w:rFonts w:hint="eastAsia" w:ascii="仿宋_GB2312" w:hAnsi="黑体" w:eastAsia="仿宋_GB2312" w:cs="仿宋_GB2312"/>
          <w:sz w:val="32"/>
          <w:szCs w:val="32"/>
          <w:u w:val="none"/>
        </w:rPr>
        <w:t>万元，比上年预算数</w:t>
      </w:r>
      <w:r>
        <w:rPr>
          <w:rFonts w:hint="eastAsia" w:hAnsi="黑体" w:cs="仿宋_GB2312"/>
          <w:sz w:val="32"/>
          <w:szCs w:val="32"/>
          <w:u w:val="none"/>
          <w:lang w:val="en-US" w:eastAsia="zh-CN"/>
        </w:rPr>
        <w:t>减少</w:t>
      </w:r>
      <w:r>
        <w:rPr>
          <w:rFonts w:hint="eastAsia" w:ascii="仿宋_GB2312" w:hAnsi="黑体" w:eastAsia="仿宋_GB2312" w:cs="仿宋_GB2312"/>
          <w:sz w:val="32"/>
          <w:szCs w:val="32"/>
          <w:u w:val="none"/>
          <w:lang w:val="en-US" w:eastAsia="zh-CN"/>
        </w:rPr>
        <w:t>8.18</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w:t>
      </w:r>
      <w:r>
        <w:rPr>
          <w:rFonts w:hint="eastAsia" w:hAnsi="黑体" w:cs="仿宋_GB2312"/>
          <w:sz w:val="32"/>
          <w:szCs w:val="32"/>
          <w:u w:val="none"/>
          <w:lang w:val="en-US" w:eastAsia="zh-CN"/>
        </w:rPr>
        <w:t>部分专项课题已结题</w:t>
      </w:r>
      <w:r>
        <w:rPr>
          <w:rFonts w:hint="eastAsia" w:ascii="仿宋_GB2312" w:hAnsi="黑体"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黑体" w:eastAsia="仿宋_GB2312" w:cs="仿宋_GB2312"/>
          <w:kern w:val="2"/>
          <w:sz w:val="32"/>
          <w:szCs w:val="32"/>
          <w:u w:val="none"/>
          <w:lang w:val="en-US" w:eastAsia="zh-CN" w:bidi="ar-SA"/>
        </w:rPr>
      </w:pPr>
      <w:r>
        <w:rPr>
          <w:rFonts w:hint="eastAsia" w:hAnsi="黑体" w:cs="仿宋_GB2312"/>
          <w:kern w:val="2"/>
          <w:sz w:val="32"/>
          <w:szCs w:val="32"/>
          <w:u w:val="none"/>
          <w:lang w:val="en-US" w:eastAsia="zh-CN" w:bidi="ar-SA"/>
        </w:rPr>
        <w:t>6</w:t>
      </w:r>
      <w:r>
        <w:rPr>
          <w:rFonts w:hint="eastAsia" w:ascii="仿宋_GB2312" w:hAnsi="黑体" w:eastAsia="仿宋_GB2312" w:cs="仿宋_GB2312"/>
          <w:kern w:val="2"/>
          <w:sz w:val="32"/>
          <w:szCs w:val="32"/>
          <w:u w:val="none"/>
          <w:lang w:val="en-US" w:eastAsia="zh-CN" w:bidi="ar-SA"/>
        </w:rPr>
        <w:t>.</w:t>
      </w:r>
      <w:r>
        <w:rPr>
          <w:rFonts w:hint="eastAsia" w:ascii="仿宋_GB2312" w:hAnsi="黑体" w:eastAsia="仿宋_GB2312" w:cs="仿宋_GB2312"/>
          <w:sz w:val="32"/>
          <w:szCs w:val="32"/>
          <w:u w:val="none"/>
        </w:rPr>
        <w:t>科学技术支出（类）应用研究（款）其他应用研究支出（项）202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26.00</w:t>
      </w:r>
      <w:r>
        <w:rPr>
          <w:rFonts w:hint="eastAsia" w:ascii="仿宋_GB2312" w:hAnsi="黑体" w:eastAsia="仿宋_GB2312" w:cs="仿宋_GB2312"/>
          <w:sz w:val="32"/>
          <w:szCs w:val="32"/>
          <w:u w:val="none"/>
        </w:rPr>
        <w:t>万元，比上年预算数</w:t>
      </w:r>
      <w:r>
        <w:rPr>
          <w:rFonts w:hint="eastAsia" w:hAnsi="黑体" w:cs="仿宋_GB2312"/>
          <w:sz w:val="32"/>
          <w:szCs w:val="32"/>
          <w:u w:val="none"/>
          <w:lang w:val="en-US" w:eastAsia="zh-CN"/>
        </w:rPr>
        <w:t>增加</w:t>
      </w:r>
      <w:r>
        <w:rPr>
          <w:rFonts w:hint="eastAsia" w:ascii="仿宋_GB2312" w:hAnsi="黑体" w:eastAsia="仿宋_GB2312" w:cs="仿宋_GB2312"/>
          <w:sz w:val="32"/>
          <w:szCs w:val="32"/>
          <w:u w:val="none"/>
          <w:lang w:val="en-US" w:eastAsia="zh-CN"/>
        </w:rPr>
        <w:t>26.00</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w:t>
      </w:r>
      <w:r>
        <w:rPr>
          <w:rFonts w:hint="eastAsia" w:hAnsi="黑体" w:cs="仿宋_GB2312"/>
          <w:sz w:val="32"/>
          <w:szCs w:val="32"/>
          <w:u w:val="none"/>
          <w:lang w:val="en-US" w:eastAsia="zh-CN"/>
        </w:rPr>
        <w:t>新增研发专项</w:t>
      </w:r>
      <w:r>
        <w:rPr>
          <w:rFonts w:hint="eastAsia" w:ascii="仿宋_GB2312" w:hAnsi="黑体"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cs="仿宋_GB2312"/>
          <w:sz w:val="32"/>
          <w:szCs w:val="32"/>
          <w:u w:val="none"/>
        </w:rPr>
      </w:pPr>
      <w:r>
        <w:rPr>
          <w:rFonts w:hint="eastAsia" w:hAnsi="黑体" w:cs="仿宋_GB2312"/>
          <w:kern w:val="2"/>
          <w:sz w:val="32"/>
          <w:szCs w:val="32"/>
          <w:u w:val="none"/>
          <w:lang w:val="en-US" w:eastAsia="zh-CN" w:bidi="ar-SA"/>
        </w:rPr>
        <w:t>7</w:t>
      </w:r>
      <w:r>
        <w:rPr>
          <w:rFonts w:hint="eastAsia" w:ascii="仿宋_GB2312" w:hAnsi="黑体" w:eastAsia="仿宋_GB2312" w:cs="仿宋_GB2312"/>
          <w:kern w:val="2"/>
          <w:sz w:val="32"/>
          <w:szCs w:val="32"/>
          <w:u w:val="none"/>
          <w:lang w:val="en-US" w:eastAsia="zh-CN" w:bidi="ar-SA"/>
        </w:rPr>
        <w:t>.</w:t>
      </w:r>
      <w:r>
        <w:rPr>
          <w:rFonts w:hint="eastAsia" w:ascii="仿宋_GB2312" w:hAnsi="黑体" w:eastAsia="仿宋_GB2312" w:cs="仿宋_GB2312"/>
          <w:sz w:val="32"/>
          <w:szCs w:val="32"/>
          <w:u w:val="none"/>
        </w:rPr>
        <w:t>科学技术支出（类）社会科学（款）社会科学研究（项）202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40.28</w:t>
      </w:r>
      <w:r>
        <w:rPr>
          <w:rFonts w:hint="eastAsia" w:ascii="仿宋_GB2312" w:hAnsi="黑体" w:eastAsia="仿宋_GB2312" w:cs="仿宋_GB2312"/>
          <w:sz w:val="32"/>
          <w:szCs w:val="32"/>
          <w:u w:val="none"/>
        </w:rPr>
        <w:t>万元，比上年预算数</w:t>
      </w:r>
      <w:r>
        <w:rPr>
          <w:rFonts w:hint="eastAsia" w:hAnsi="黑体" w:cs="仿宋_GB2312"/>
          <w:sz w:val="32"/>
          <w:szCs w:val="32"/>
          <w:u w:val="none"/>
          <w:lang w:val="en-US" w:eastAsia="zh-CN"/>
        </w:rPr>
        <w:t>增加</w:t>
      </w:r>
      <w:r>
        <w:rPr>
          <w:rFonts w:hint="eastAsia" w:ascii="仿宋_GB2312" w:hAnsi="黑体" w:eastAsia="仿宋_GB2312" w:cs="仿宋_GB2312"/>
          <w:sz w:val="32"/>
          <w:szCs w:val="32"/>
          <w:u w:val="none"/>
          <w:lang w:val="en-US" w:eastAsia="zh-CN"/>
        </w:rPr>
        <w:t>20.78</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u w:val="none"/>
          <w:lang w:val="en-US" w:eastAsia="zh-CN"/>
        </w:rPr>
        <w:t>主要原因是</w:t>
      </w:r>
      <w:r>
        <w:rPr>
          <w:rFonts w:hint="eastAsia" w:hAnsi="黑体" w:cs="仿宋_GB2312"/>
          <w:sz w:val="32"/>
          <w:szCs w:val="32"/>
          <w:u w:val="none"/>
          <w:lang w:val="en-US" w:eastAsia="zh-CN"/>
        </w:rPr>
        <w:t>科研课题经费历年结转</w:t>
      </w:r>
      <w:r>
        <w:rPr>
          <w:rFonts w:hint="eastAsia" w:ascii="仿宋_GB2312" w:hAnsi="黑体" w:eastAsia="仿宋_GB2312" w:cs="仿宋_GB2312"/>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cs="仿宋_GB2312"/>
          <w:sz w:val="32"/>
          <w:szCs w:val="32"/>
          <w:u w:val="none"/>
          <w:lang w:val="en-US" w:eastAsia="zh-CN"/>
        </w:rPr>
      </w:pPr>
      <w:r>
        <w:rPr>
          <w:rFonts w:hint="eastAsia" w:hAnsi="黑体" w:cs="仿宋_GB2312"/>
          <w:sz w:val="32"/>
          <w:szCs w:val="32"/>
          <w:u w:val="none"/>
          <w:lang w:val="en-US" w:eastAsia="zh-CN"/>
        </w:rPr>
        <w:t>8.社会保障和就业支出（类）行政事业单位养老支出</w:t>
      </w:r>
      <w:r>
        <w:rPr>
          <w:rFonts w:hint="eastAsia" w:ascii="仿宋_GB2312" w:hAnsi="黑体" w:eastAsia="仿宋_GB2312" w:cs="仿宋_GB2312"/>
          <w:sz w:val="32"/>
          <w:szCs w:val="32"/>
          <w:u w:val="none"/>
        </w:rPr>
        <w:t>（款）</w:t>
      </w:r>
      <w:r>
        <w:rPr>
          <w:rFonts w:hint="eastAsia" w:hAnsi="黑体" w:cs="仿宋_GB2312"/>
          <w:sz w:val="32"/>
          <w:szCs w:val="32"/>
          <w:u w:val="none"/>
          <w:lang w:val="en-US" w:eastAsia="zh-CN"/>
        </w:rPr>
        <w:t>机关事业单位基本养老保险缴费支出(项)2024年预算数为998.86万元，比上年预算数增加138.92万元，主要原因是招聘人员转正养老保险财政拨款增加。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hAnsi="黑体" w:cs="仿宋_GB2312"/>
          <w:sz w:val="32"/>
          <w:szCs w:val="32"/>
          <w:u w:val="none"/>
          <w:lang w:val="en-US" w:eastAsia="zh-CN"/>
        </w:rPr>
        <w:t>9.</w:t>
      </w:r>
      <w:r>
        <w:rPr>
          <w:rFonts w:hint="eastAsia" w:ascii="仿宋_GB2312" w:hAnsi="黑体" w:eastAsia="仿宋_GB2312"/>
          <w:sz w:val="32"/>
          <w:szCs w:val="32"/>
          <w:lang w:val="en-US" w:eastAsia="zh-CN"/>
        </w:rPr>
        <w:t>社会保障和就业支出（类）</w:t>
      </w:r>
      <w:r>
        <w:rPr>
          <w:rFonts w:hint="eastAsia" w:hAnsi="黑体" w:cs="仿宋_GB2312"/>
          <w:sz w:val="32"/>
          <w:szCs w:val="32"/>
          <w:u w:val="none"/>
          <w:lang w:val="en-US" w:eastAsia="zh-CN"/>
        </w:rPr>
        <w:t>行政事业单位养老支出</w:t>
      </w:r>
      <w:r>
        <w:rPr>
          <w:rFonts w:hint="eastAsia" w:ascii="仿宋_GB2312" w:hAnsi="黑体" w:eastAsia="仿宋_GB2312" w:cs="仿宋_GB2312"/>
          <w:sz w:val="32"/>
          <w:szCs w:val="32"/>
          <w:u w:val="none"/>
        </w:rPr>
        <w:t>（款）</w:t>
      </w:r>
      <w:r>
        <w:rPr>
          <w:rFonts w:hint="eastAsia" w:ascii="仿宋_GB2312" w:hAnsi="黑体" w:eastAsia="仿宋_GB2312"/>
          <w:sz w:val="32"/>
          <w:szCs w:val="32"/>
          <w:lang w:val="en-US" w:eastAsia="zh-CN"/>
        </w:rPr>
        <w:t>机关事业单位职业年金缴费支出（项）202</w:t>
      </w:r>
      <w:r>
        <w:rPr>
          <w:rFonts w:hint="eastAsia" w:hAnsi="黑体"/>
          <w:sz w:val="32"/>
          <w:szCs w:val="32"/>
          <w:lang w:val="en-US" w:eastAsia="zh-CN"/>
        </w:rPr>
        <w:t>4</w:t>
      </w:r>
      <w:r>
        <w:rPr>
          <w:rFonts w:hint="eastAsia" w:ascii="仿宋_GB2312" w:hAnsi="黑体" w:eastAsia="仿宋_GB2312"/>
          <w:sz w:val="32"/>
          <w:szCs w:val="32"/>
          <w:lang w:val="en-US" w:eastAsia="zh-CN"/>
        </w:rPr>
        <w:t>年预算数为499.43万元，比上年预算数增加69.46万元，主要原因是招聘人员转正职业年金财政拨款增加。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hAnsi="黑体"/>
          <w:sz w:val="32"/>
          <w:szCs w:val="32"/>
          <w:lang w:val="en-US" w:eastAsia="zh-CN"/>
        </w:rPr>
        <w:t>10.</w:t>
      </w:r>
      <w:r>
        <w:rPr>
          <w:rFonts w:hint="eastAsia" w:ascii="仿宋_GB2312" w:hAnsi="黑体" w:eastAsia="仿宋_GB2312"/>
          <w:sz w:val="32"/>
          <w:szCs w:val="32"/>
          <w:lang w:val="en-US" w:eastAsia="zh-CN"/>
        </w:rPr>
        <w:t>社会保障和就业支出（类）抚恤（款）其他优抚支出（项）202</w:t>
      </w:r>
      <w:r>
        <w:rPr>
          <w:rFonts w:hint="eastAsia" w:hAnsi="黑体"/>
          <w:sz w:val="32"/>
          <w:szCs w:val="32"/>
          <w:lang w:val="en-US" w:eastAsia="zh-CN"/>
        </w:rPr>
        <w:t>4</w:t>
      </w:r>
      <w:r>
        <w:rPr>
          <w:rFonts w:hint="eastAsia" w:ascii="仿宋_GB2312" w:hAnsi="黑体" w:eastAsia="仿宋_GB2312"/>
          <w:sz w:val="32"/>
          <w:szCs w:val="32"/>
          <w:lang w:val="en-US" w:eastAsia="zh-CN"/>
        </w:rPr>
        <w:t>年预算数为3.57万元，比上年预算数</w:t>
      </w:r>
      <w:r>
        <w:rPr>
          <w:rFonts w:hint="eastAsia" w:hAnsi="黑体"/>
          <w:sz w:val="32"/>
          <w:szCs w:val="32"/>
          <w:lang w:val="en-US" w:eastAsia="zh-CN"/>
        </w:rPr>
        <w:t>减少1.66</w:t>
      </w:r>
      <w:r>
        <w:rPr>
          <w:rFonts w:hint="eastAsia" w:ascii="仿宋_GB2312" w:hAnsi="黑体" w:eastAsia="仿宋_GB2312"/>
          <w:sz w:val="32"/>
          <w:szCs w:val="32"/>
          <w:lang w:val="en-US" w:eastAsia="zh-CN"/>
        </w:rPr>
        <w:t>万元，原因是</w:t>
      </w:r>
      <w:r>
        <w:rPr>
          <w:rFonts w:hint="eastAsia" w:hAnsi="黑体"/>
          <w:sz w:val="32"/>
          <w:szCs w:val="32"/>
          <w:lang w:val="en-US" w:eastAsia="zh-CN"/>
        </w:rPr>
        <w:t>上年预算包含以前年度</w:t>
      </w:r>
      <w:r>
        <w:rPr>
          <w:rFonts w:hint="eastAsia" w:ascii="仿宋_GB2312" w:hAnsi="黑体" w:eastAsia="仿宋_GB2312"/>
          <w:sz w:val="32"/>
          <w:szCs w:val="32"/>
          <w:lang w:val="en-US" w:eastAsia="zh-CN"/>
        </w:rPr>
        <w:t>职工遗属补助</w:t>
      </w:r>
      <w:r>
        <w:rPr>
          <w:rFonts w:hint="eastAsia" w:hAnsi="黑体"/>
          <w:sz w:val="32"/>
          <w:szCs w:val="32"/>
          <w:lang w:val="en-US" w:eastAsia="zh-CN"/>
        </w:rPr>
        <w:t>变动部分</w:t>
      </w:r>
      <w:r>
        <w:rPr>
          <w:rFonts w:hint="eastAsia" w:ascii="仿宋_GB2312" w:hAnsi="黑体"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11.卫生健康支出（类）行政事业单位医疗（款）事业单位医疗（项）2024年预算数为476.83万元，比上年预算数增加73.8万元，主要原因是招聘人员转正医疗保险财政拨款增加。</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黑体" w:eastAsia="仿宋_GB2312"/>
          <w:sz w:val="32"/>
          <w:szCs w:val="32"/>
          <w:lang w:val="en-US" w:eastAsia="zh-CN"/>
        </w:rPr>
      </w:pPr>
      <w:r>
        <w:rPr>
          <w:rFonts w:hint="eastAsia" w:hAnsi="黑体"/>
          <w:sz w:val="32"/>
          <w:szCs w:val="32"/>
          <w:lang w:val="en-US" w:eastAsia="zh-CN"/>
        </w:rPr>
        <w:t>12.住房保障支出（类）住房改革支出（款）住房公积金（项）2024年预算数为814.48万元，比上年预算数增加104.86万元，主要原因是招聘人员转正住房公积金拨款有所增加。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黑体" w:hAnsi="黑体" w:eastAsia="黑体" w:cs="黑体"/>
          <w:sz w:val="32"/>
          <w:szCs w:val="32"/>
          <w:highlight w:val="none"/>
          <w:u w:val="none"/>
          <w:lang w:val="en-US" w:eastAsia="zh-CN"/>
        </w:rPr>
        <w:t>三、关于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经贸职业技术学院单位2024年一般公共预算基本支出情况说明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海南经贸职业技术学院单位2024年一般公共预算基本支出为13,210.13万元，其中：</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人员经费10,657.33万元，主要包括基本工资、津贴补贴、社会保障缴费、绩效工资等；</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公用经费2,552.80万元，主要包括办公费、印刷费、工会经费、水费、电费、差旅费、劳务费、维修费等。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黑体" w:hAnsi="黑体" w:eastAsia="黑体" w:cs="黑体"/>
          <w:sz w:val="32"/>
          <w:szCs w:val="32"/>
          <w:highlight w:val="none"/>
          <w:u w:val="none"/>
          <w:lang w:val="en-US" w:eastAsia="zh-CN"/>
        </w:rPr>
        <w:t>四、关于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经贸职业技术学院单位2024年“三公”经费预算情况说明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（一）海南经贸职业技术学院单位2024年一般公共预算“三公”经费预算数为69.30万元，其中：</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hAnsi="黑体"/>
          <w:sz w:val="32"/>
          <w:szCs w:val="32"/>
          <w:lang w:val="en-US" w:eastAsia="zh-CN"/>
        </w:rPr>
        <w:t>因公出国（境）经费48.00万元，与上年预算持平。根据学院安排的2024年出国计划，拟安排出国（境）团（组）3次，出国（境）18人。出国（境）团组主要包括：1.海南经贸职业技术学院刘文斌等6人出访澳大利亚计划团组：目的地为澳大利亚，人数为6人，天数为5天，主要任务为进一步加强与澳大利亚博士山学院有关中外合作办学机构的专业建设及培训业务的对接，以及共同签署中外合作办学机构协议书；2.海南经贸职业技术学院陈修焕等6人出访俄罗斯、白俄罗斯、乌兹别克斯坦计划团组：目的地为俄罗斯、白俄罗斯、乌兹别克斯坦，人数为6人，天数为10天，主要任务为进一步落实我校中外合作办学机构乌拉尔学院深入合作项目事宜、访问白俄罗斯国立大学，深入探讨合作领域，签署合作备忘录及访问乌兹别克斯坦中亚商贸文化投资促进会，和当地中企及大学开展中文+职业技能中心工作；3.海南经贸职业技术学院万力维等6人出访马来西亚、柬埔寨、泰国计划团组：目的地为马来西亚、柬埔寨、泰国，人数为6人，天数为10天，主要任务落实“中文+职业技能”基地建设合作，检验中文学习测试中心运行情况、与北吉隆坡学院签署 ACCA 2+2国际会计资格证考试及与我院与该校联合举办2+2大数据与会计专业联合办学项目签署协议及访问泰国格乐大学，签署合作备忘录。</w:t>
      </w:r>
      <w:r>
        <w:rPr>
          <w:rFonts w:hint="eastAsia" w:ascii="仿宋_GB2312" w:hAnsi="黑体" w:eastAsia="仿宋_GB2312"/>
          <w:sz w:val="32"/>
          <w:szCs w:val="32"/>
          <w:lang w:val="en-US" w:eastAsia="zh-CN"/>
        </w:rPr>
        <w:t>公务用车购置及运行费17.30万元，全部用于公务用车运行维护，较上年预算下降3.89%，下降的主要原因为公车燃料费下降，公务车保有量</w:t>
      </w:r>
      <w:r>
        <w:rPr>
          <w:rFonts w:hint="eastAsia" w:hAnsi="黑体"/>
          <w:sz w:val="32"/>
          <w:szCs w:val="32"/>
          <w:lang w:val="en-US" w:eastAsia="zh-CN"/>
        </w:rPr>
        <w:t>为5</w:t>
      </w:r>
      <w:r>
        <w:rPr>
          <w:rFonts w:hint="eastAsia" w:ascii="仿宋_GB2312" w:hAnsi="黑体" w:eastAsia="仿宋_GB2312"/>
          <w:sz w:val="32"/>
          <w:szCs w:val="32"/>
          <w:lang w:val="en-US" w:eastAsia="zh-CN"/>
        </w:rPr>
        <w:t>辆。公务接待费</w:t>
      </w:r>
      <w:r>
        <w:rPr>
          <w:rFonts w:hint="eastAsia" w:hAnsi="黑体"/>
          <w:sz w:val="32"/>
          <w:szCs w:val="32"/>
          <w:lang w:val="en-US" w:eastAsia="zh-CN"/>
        </w:rPr>
        <w:t>4.00</w:t>
      </w:r>
      <w:r>
        <w:rPr>
          <w:rFonts w:hint="eastAsia" w:ascii="仿宋_GB2312" w:hAnsi="黑体" w:eastAsia="仿宋_GB2312"/>
          <w:sz w:val="32"/>
          <w:szCs w:val="32"/>
          <w:lang w:val="en-US" w:eastAsia="zh-CN"/>
        </w:rPr>
        <w:t>万元，与上年预算持平，计划接待</w:t>
      </w:r>
      <w:r>
        <w:rPr>
          <w:rFonts w:hint="eastAsia" w:hAnsi="黑体"/>
          <w:sz w:val="32"/>
          <w:szCs w:val="32"/>
          <w:lang w:val="en-US" w:eastAsia="zh-CN"/>
        </w:rPr>
        <w:t>70</w:t>
      </w:r>
      <w:r>
        <w:rPr>
          <w:rFonts w:hint="eastAsia" w:ascii="仿宋_GB2312" w:hAnsi="黑体" w:eastAsia="仿宋_GB2312"/>
          <w:sz w:val="32"/>
          <w:szCs w:val="32"/>
          <w:lang w:val="en-US" w:eastAsia="zh-CN"/>
        </w:rPr>
        <w:t>批</w:t>
      </w:r>
      <w:r>
        <w:rPr>
          <w:rFonts w:hint="eastAsia" w:hAnsi="黑体"/>
          <w:sz w:val="32"/>
          <w:szCs w:val="32"/>
          <w:lang w:val="en-US" w:eastAsia="zh-CN"/>
        </w:rPr>
        <w:t>次、接待人数500</w:t>
      </w:r>
      <w:r>
        <w:rPr>
          <w:rFonts w:hint="eastAsia" w:ascii="仿宋_GB2312" w:hAnsi="黑体" w:eastAsia="仿宋_GB2312"/>
          <w:sz w:val="32"/>
          <w:szCs w:val="32"/>
          <w:lang w:val="en-US" w:eastAsia="zh-CN"/>
        </w:rPr>
        <w:t>人。</w:t>
      </w:r>
    </w:p>
    <w:p>
      <w:pPr>
        <w:ind w:firstLine="640" w:firstLineChars="200"/>
        <w:rPr>
          <w:rFonts w:ascii="仿宋_GB2312" w:hAnsi="黑体" w:eastAsia="仿宋_GB2312" w:cs="Times New Roman"/>
          <w:color w:val="000000" w:themeColor="text1"/>
          <w:sz w:val="32"/>
          <w:szCs w:val="32"/>
          <w:u w:val="none"/>
          <w14:textFill>
            <w14:solidFill>
              <w14:schemeClr w14:val="tx1"/>
            </w14:solidFill>
          </w14:textFill>
        </w:rPr>
      </w:pPr>
      <w:r>
        <w:rPr>
          <w:rFonts w:hint="eastAsia" w:ascii="仿宋_GB2312" w:hAnsi="黑体" w:eastAsia="仿宋_GB2312"/>
          <w:color w:val="000000" w:themeColor="text1"/>
          <w:sz w:val="32"/>
          <w:szCs w:val="32"/>
          <w:u w:val="none"/>
          <w14:textFill>
            <w14:solidFill>
              <w14:schemeClr w14:val="tx1"/>
            </w14:solidFill>
          </w14:textFill>
        </w:rPr>
        <w:t>（二）</w:t>
      </w:r>
      <w:r>
        <w:rPr>
          <w:rFonts w:hint="eastAsia" w:ascii="仿宋_GB2312" w:hAnsi="黑体" w:eastAsia="仿宋_GB2312"/>
          <w:color w:val="000000" w:themeColor="text1"/>
          <w:sz w:val="32"/>
          <w:szCs w:val="32"/>
          <w:u w:val="none"/>
          <w:lang w:val="en-US" w:eastAsia="zh-CN"/>
          <w14:textFill>
            <w14:solidFill>
              <w14:schemeClr w14:val="tx1"/>
            </w14:solidFill>
          </w14:textFill>
        </w:rPr>
        <w:t>海南经贸职业技术学院单位2024</w:t>
      </w:r>
      <w:r>
        <w:rPr>
          <w:rFonts w:hint="eastAsia" w:ascii="仿宋_GB2312" w:hAnsi="黑体" w:eastAsia="仿宋_GB2312"/>
          <w:color w:val="000000" w:themeColor="text1"/>
          <w:sz w:val="32"/>
          <w:szCs w:val="32"/>
          <w:u w:val="none"/>
          <w14:textFill>
            <w14:solidFill>
              <w14:schemeClr w14:val="tx1"/>
            </w14:solidFill>
          </w14:textFill>
        </w:rPr>
        <w:t>年政府性基金预算“三公”经费预算数为</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pP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根据安排的</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2</w:t>
      </w:r>
      <w:r>
        <w:rPr>
          <w:rFonts w:hint="eastAsia" w:ascii="仿宋_GB2312" w:hAnsi="黑体" w:eastAsia="仿宋_GB2312" w:cs="仿宋_GB2312"/>
          <w:color w:val="000000" w:themeColor="text1"/>
          <w:sz w:val="32"/>
          <w:szCs w:val="32"/>
          <w:u w:val="none"/>
          <w:lang w:val="en-US" w:eastAsia="zh-CN"/>
          <w14:textFill>
            <w14:solidFill>
              <w14:schemeClr w14:val="tx1"/>
            </w14:solidFill>
          </w14:textFill>
        </w:rPr>
        <w:t>024</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年出国计划，拟安排出国（境）组</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人。公务用车购置及运行费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万元（其中，</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年预算</w:t>
      </w:r>
      <w:bookmarkStart w:id="0" w:name="_GoBack"/>
      <w:bookmarkEnd w:id="0"/>
      <w:r>
        <w:rPr>
          <w:rFonts w:ascii="Times New Roman" w:hAnsi="Times New Roman" w:eastAsia="仿宋_GB2312" w:cs="Times New Roman"/>
          <w:color w:val="000000" w:themeColor="text1"/>
          <w:sz w:val="32"/>
          <w:u w:val="none"/>
          <w:shd w:val="clear" w:color="auto" w:fill="FFFFFF"/>
          <w14:textFill>
            <w14:solidFill>
              <w14:schemeClr w14:val="tx1"/>
            </w14:solidFill>
          </w14:textFill>
        </w:rPr>
        <w:t>持平</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；公务车保有量</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s="仿宋_GB2312"/>
          <w:color w:val="000000" w:themeColor="text1"/>
          <w:sz w:val="32"/>
          <w:szCs w:val="32"/>
          <w:u w:val="none"/>
          <w14:textFill>
            <w14:solidFill>
              <w14:schemeClr w14:val="tx1"/>
            </w14:solidFill>
          </w14:textFill>
        </w:rPr>
        <w:t>辆，计划购置</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s="仿宋_GB2312"/>
          <w:color w:val="000000" w:themeColor="text1"/>
          <w:sz w:val="32"/>
          <w:szCs w:val="32"/>
          <w:u w:val="none"/>
          <w14:textFill>
            <w14:solidFill>
              <w14:schemeClr w14:val="tx1"/>
            </w14:solidFill>
          </w14:textFill>
        </w:rPr>
        <w:t>辆</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w:t>
      </w:r>
      <w:r>
        <w:rPr>
          <w:rFonts w:ascii="仿宋_GB2312" w:hAnsi="黑体" w:eastAsia="仿宋_GB2312" w:cs="Times New Roman"/>
          <w:color w:val="000000" w:themeColor="text1"/>
          <w:sz w:val="32"/>
          <w:szCs w:val="32"/>
          <w:u w:val="none"/>
          <w14:textFill>
            <w14:solidFill>
              <w14:schemeClr w14:val="tx1"/>
            </w14:solidFill>
          </w14:textFill>
        </w:rPr>
        <w:t>公务接待费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上</w:t>
      </w:r>
      <w:r>
        <w:rPr>
          <w:rFonts w:ascii="Times New Roman" w:hAnsi="Times New Roman" w:eastAsia="仿宋_GB2312" w:cs="Times New Roman"/>
          <w:color w:val="000000" w:themeColor="text1"/>
          <w:sz w:val="32"/>
          <w:u w:val="none"/>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s="仿宋_GB2312"/>
          <w:color w:val="000000" w:themeColor="text1"/>
          <w:sz w:val="32"/>
          <w:szCs w:val="32"/>
          <w:u w:val="none"/>
          <w14:textFill>
            <w14:solidFill>
              <w14:schemeClr w14:val="tx1"/>
            </w14:solidFill>
          </w14:textFill>
        </w:rPr>
        <w:t>批</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s="仿宋_GB2312"/>
          <w:color w:val="000000" w:themeColor="text1"/>
          <w:sz w:val="32"/>
          <w:szCs w:val="32"/>
          <w:u w:val="none"/>
          <w14:textFill>
            <w14:solidFill>
              <w14:schemeClr w14:val="tx1"/>
            </w14:solidFill>
          </w14:textFill>
        </w:rPr>
        <w:t>人</w:t>
      </w:r>
      <w:r>
        <w:rPr>
          <w:rFonts w:hint="eastAsia" w:ascii="Times New Roman" w:hAnsi="Times New Roman" w:eastAsia="仿宋_GB2312" w:cs="Times New Roman"/>
          <w:color w:val="000000" w:themeColor="text1"/>
          <w:sz w:val="32"/>
          <w:u w:val="none"/>
          <w:shd w:val="clear" w:color="auto" w:fill="FFFFFF"/>
          <w14:textFill>
            <w14:solidFill>
              <w14:schemeClr w14:val="tx1"/>
            </w14:solidFill>
          </w14:textFill>
        </w:rPr>
        <w:t>。</w:t>
      </w:r>
    </w:p>
    <w:p>
      <w:pPr>
        <w:ind w:firstLine="640" w:firstLineChars="200"/>
        <w:rPr>
          <w:rFonts w:ascii="黑体" w:hAnsi="黑体" w:eastAsia="黑体" w:cs="Times New Roman"/>
          <w:color w:val="000000" w:themeColor="text1"/>
          <w:sz w:val="32"/>
          <w:u w:val="none"/>
          <w:shd w:val="clear" w:color="auto" w:fill="FFFFFF"/>
          <w14:textFill>
            <w14:solidFill>
              <w14:schemeClr w14:val="tx1"/>
            </w14:solidFill>
          </w14:textFill>
        </w:rPr>
      </w:pPr>
      <w:r>
        <w:rPr>
          <w:rFonts w:hint="eastAsia" w:ascii="黑体" w:hAnsi="黑体" w:eastAsia="黑体" w:cs="Times New Roman"/>
          <w:color w:val="000000" w:themeColor="text1"/>
          <w:sz w:val="32"/>
          <w:u w:val="none"/>
          <w:shd w:val="clear" w:color="auto" w:fill="FFFFFF"/>
          <w14:textFill>
            <w14:solidFill>
              <w14:schemeClr w14:val="tx1"/>
            </w14:solidFill>
          </w14:textFill>
        </w:rPr>
        <w:t>五、关于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w:t>
      </w:r>
      <w:r>
        <w:rPr>
          <w:rFonts w:hint="eastAsia" w:ascii="黑体" w:hAnsi="黑体" w:eastAsia="黑体" w:cs="黑体"/>
          <w:color w:val="000000" w:themeColor="text1"/>
          <w:sz w:val="32"/>
          <w:szCs w:val="32"/>
          <w:u w:val="none"/>
          <w:lang w:val="en-US" w:eastAsia="zh-CN"/>
          <w14:textFill>
            <w14:solidFill>
              <w14:schemeClr w14:val="tx1"/>
            </w14:solidFill>
          </w14:textFill>
        </w:rPr>
        <w:t>2024</w:t>
      </w:r>
      <w:r>
        <w:rPr>
          <w:rFonts w:ascii="黑体" w:hAnsi="黑体" w:eastAsia="黑体" w:cs="Times New Roman"/>
          <w:color w:val="000000" w:themeColor="text1"/>
          <w:sz w:val="32"/>
          <w:u w:val="none"/>
          <w:shd w:val="clear" w:color="auto" w:fill="FFFFFF"/>
          <w14:textFill>
            <w14:solidFill>
              <w14:schemeClr w14:val="tx1"/>
            </w14:solidFill>
          </w14:textFill>
        </w:rPr>
        <w:t>年</w:t>
      </w:r>
      <w:r>
        <w:rPr>
          <w:rFonts w:hint="eastAsia" w:ascii="黑体" w:hAnsi="黑体" w:eastAsia="黑体" w:cs="Times New Roman"/>
          <w:color w:val="000000" w:themeColor="text1"/>
          <w:sz w:val="32"/>
          <w:u w:val="none"/>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（一）政府性基金预算当年规模变化情况</w:t>
      </w:r>
    </w:p>
    <w:p>
      <w:pPr>
        <w:ind w:firstLine="640" w:firstLineChars="200"/>
        <w:rPr>
          <w:rFonts w:ascii="仿宋_GB2312" w:hAnsi="黑体" w:eastAsia="仿宋_GB2312"/>
          <w:color w:val="000000" w:themeColor="text1"/>
          <w:sz w:val="32"/>
          <w:szCs w:val="32"/>
          <w:u w:val="none"/>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海南经贸职业技术学院单位2024年</w:t>
      </w:r>
      <w:r>
        <w:rPr>
          <w:rFonts w:hint="eastAsia" w:ascii="仿宋_GB2312" w:hAnsi="黑体" w:eastAsia="仿宋_GB2312"/>
          <w:color w:val="000000" w:themeColor="text1"/>
          <w:sz w:val="32"/>
          <w:szCs w:val="32"/>
          <w:u w:val="none"/>
          <w14:textFill>
            <w14:solidFill>
              <w14:schemeClr w14:val="tx1"/>
            </w14:solidFill>
          </w14:textFill>
        </w:rPr>
        <w:t>政府性基金预算当年拨款</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w:t>
      </w:r>
      <w:r>
        <w:rPr>
          <w:rFonts w:hint="eastAsia" w:ascii="仿宋_GB2312" w:hAnsi="黑体" w:eastAsia="仿宋_GB2312"/>
          <w:color w:val="000000" w:themeColor="text1"/>
          <w:sz w:val="32"/>
          <w:szCs w:val="32"/>
          <w:u w:val="none"/>
          <w:lang w:eastAsia="zh-CN"/>
          <w14:textFill>
            <w14:solidFill>
              <w14:schemeClr w14:val="tx1"/>
            </w14:solidFill>
          </w14:textFill>
        </w:rPr>
        <w:t>与上年持平。</w:t>
      </w:r>
    </w:p>
    <w:p>
      <w:pPr>
        <w:ind w:firstLine="640"/>
        <w:jc w:val="left"/>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海南经贸职业技术学院单位2024</w:t>
      </w:r>
      <w:r>
        <w:rPr>
          <w:rFonts w:hint="eastAsia" w:ascii="仿宋_GB2312" w:hAnsi="黑体" w:eastAsia="仿宋_GB2312" w:cs="仿宋_GB2312"/>
          <w:color w:val="000000" w:themeColor="text1"/>
          <w:sz w:val="32"/>
          <w:szCs w:val="32"/>
          <w14:textFill>
            <w14:solidFill>
              <w14:schemeClr w14:val="tx1"/>
            </w14:solidFill>
          </w14:textFill>
        </w:rPr>
        <w:t>年无政府性基金预算拨款。</w:t>
      </w:r>
    </w:p>
    <w:p>
      <w:pPr>
        <w:ind w:firstLine="640"/>
        <w:jc w:val="left"/>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海南经贸职业技术学院单位</w:t>
      </w:r>
      <w:r>
        <w:rPr>
          <w:rFonts w:hint="eastAsia" w:ascii="仿宋_GB2312" w:hAnsi="黑体" w:eastAsia="仿宋_GB2312" w:cs="仿宋_GB2312"/>
          <w:color w:val="000000" w:themeColor="text1"/>
          <w:sz w:val="32"/>
          <w:szCs w:val="32"/>
          <w14:textFill>
            <w14:solidFill>
              <w14:schemeClr w14:val="tx1"/>
            </w14:solidFill>
          </w14:textFill>
        </w:rPr>
        <w:t>202</w:t>
      </w: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年无政府性基金预算拨款。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sz w:val="32"/>
          <w:szCs w:val="32"/>
          <w:highlight w:val="none"/>
          <w:u w:val="none"/>
          <w:lang w:val="en-US" w:eastAsia="zh-CN"/>
        </w:rPr>
        <w:t>六、关于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经贸职业技术学院单位2024年收支预算情况的总体说明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按照综合预算原则，海南经贸职业技术学院单位所有收入和支出均纳入部门预算管理。收入包括：一般公共预算收入、财政专户管理资金收入、事业单位经营收入、其他收入；支出包括：教育支出、一般公共服务支出</w:t>
      </w:r>
      <w:r>
        <w:rPr>
          <w:rFonts w:hint="eastAsia" w:hAnsi="黑体"/>
          <w:sz w:val="32"/>
          <w:szCs w:val="32"/>
          <w:lang w:val="en-US" w:eastAsia="zh-CN"/>
        </w:rPr>
        <w:t>、</w:t>
      </w:r>
      <w:r>
        <w:rPr>
          <w:rFonts w:hint="eastAsia" w:ascii="仿宋_GB2312" w:hAnsi="黑体" w:eastAsia="仿宋_GB2312"/>
          <w:sz w:val="32"/>
          <w:szCs w:val="32"/>
          <w:lang w:val="en-US" w:eastAsia="zh-CN"/>
        </w:rPr>
        <w:t>社会保障和就业支出、卫生健康支出、住房保障支出、科学技术支出。学院202</w:t>
      </w:r>
      <w:r>
        <w:rPr>
          <w:rFonts w:hint="eastAsia" w:hAnsi="黑体"/>
          <w:sz w:val="32"/>
          <w:szCs w:val="32"/>
          <w:lang w:val="en-US" w:eastAsia="zh-CN"/>
        </w:rPr>
        <w:t>4</w:t>
      </w:r>
      <w:r>
        <w:rPr>
          <w:rFonts w:hint="eastAsia" w:ascii="仿宋_GB2312" w:hAnsi="黑体" w:eastAsia="仿宋_GB2312"/>
          <w:sz w:val="32"/>
          <w:szCs w:val="32"/>
          <w:lang w:val="en-US" w:eastAsia="zh-CN"/>
        </w:rPr>
        <w:t>年收支总预算39,336.71万元。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sz w:val="32"/>
          <w:szCs w:val="32"/>
          <w:highlight w:val="none"/>
          <w:u w:val="none"/>
          <w:lang w:val="en-US" w:eastAsia="zh-CN"/>
        </w:rPr>
        <w:t>七、关于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经贸职业技术学院单位2024年收入预算情况说明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海南经贸职业技术学院单位202</w:t>
      </w:r>
      <w:r>
        <w:rPr>
          <w:rFonts w:hint="eastAsia" w:hAnsi="黑体"/>
          <w:sz w:val="32"/>
          <w:szCs w:val="32"/>
          <w:lang w:val="en-US" w:eastAsia="zh-CN"/>
        </w:rPr>
        <w:t>4</w:t>
      </w:r>
      <w:r>
        <w:rPr>
          <w:rFonts w:hint="eastAsia" w:ascii="仿宋_GB2312" w:hAnsi="黑体" w:eastAsia="仿宋_GB2312"/>
          <w:sz w:val="32"/>
          <w:szCs w:val="32"/>
          <w:lang w:val="en-US" w:eastAsia="zh-CN"/>
        </w:rPr>
        <w:t>年收入预算39,336.71万元，其中：上年结转4,949.23万元，占1</w:t>
      </w:r>
      <w:r>
        <w:rPr>
          <w:rFonts w:hint="eastAsia" w:hAnsi="黑体"/>
          <w:sz w:val="32"/>
          <w:szCs w:val="32"/>
          <w:lang w:val="en-US" w:eastAsia="zh-CN"/>
        </w:rPr>
        <w:t>2</w:t>
      </w:r>
      <w:r>
        <w:rPr>
          <w:rFonts w:hint="eastAsia" w:ascii="仿宋_GB2312" w:hAnsi="黑体" w:eastAsia="仿宋_GB2312"/>
          <w:sz w:val="32"/>
          <w:szCs w:val="32"/>
          <w:lang w:val="en-US" w:eastAsia="zh-CN"/>
        </w:rPr>
        <w:t>.</w:t>
      </w:r>
      <w:r>
        <w:rPr>
          <w:rFonts w:hint="eastAsia" w:hAnsi="黑体"/>
          <w:sz w:val="32"/>
          <w:szCs w:val="32"/>
          <w:lang w:val="en-US" w:eastAsia="zh-CN"/>
        </w:rPr>
        <w:t>58</w:t>
      </w:r>
      <w:r>
        <w:rPr>
          <w:rFonts w:hint="eastAsia" w:ascii="仿宋_GB2312" w:hAnsi="黑体" w:eastAsia="仿宋_GB2312"/>
          <w:sz w:val="32"/>
          <w:szCs w:val="32"/>
          <w:lang w:val="en-US" w:eastAsia="zh-CN"/>
        </w:rPr>
        <w:t>%；经费拨款收入24,892.49万元，占6</w:t>
      </w:r>
      <w:r>
        <w:rPr>
          <w:rFonts w:hint="eastAsia" w:hAnsi="黑体"/>
          <w:sz w:val="32"/>
          <w:szCs w:val="32"/>
          <w:lang w:val="en-US" w:eastAsia="zh-CN"/>
        </w:rPr>
        <w:t>3</w:t>
      </w:r>
      <w:r>
        <w:rPr>
          <w:rFonts w:hint="eastAsia" w:ascii="仿宋_GB2312" w:hAnsi="黑体" w:eastAsia="仿宋_GB2312"/>
          <w:sz w:val="32"/>
          <w:szCs w:val="32"/>
          <w:lang w:val="en-US" w:eastAsia="zh-CN"/>
        </w:rPr>
        <w:t>.</w:t>
      </w:r>
      <w:r>
        <w:rPr>
          <w:rFonts w:hint="eastAsia" w:hAnsi="黑体"/>
          <w:sz w:val="32"/>
          <w:szCs w:val="32"/>
          <w:lang w:val="en-US" w:eastAsia="zh-CN"/>
        </w:rPr>
        <w:t>28</w:t>
      </w:r>
      <w:r>
        <w:rPr>
          <w:rFonts w:hint="eastAsia" w:ascii="仿宋_GB2312" w:hAnsi="黑体" w:eastAsia="仿宋_GB2312"/>
          <w:sz w:val="32"/>
          <w:szCs w:val="32"/>
          <w:lang w:val="en-US" w:eastAsia="zh-CN"/>
        </w:rPr>
        <w:t>%；财政专户管理资金收入8,700.00万元，占2</w:t>
      </w:r>
      <w:r>
        <w:rPr>
          <w:rFonts w:hint="eastAsia" w:hAnsi="黑体"/>
          <w:sz w:val="32"/>
          <w:szCs w:val="32"/>
          <w:lang w:val="en-US" w:eastAsia="zh-CN"/>
        </w:rPr>
        <w:t>2</w:t>
      </w:r>
      <w:r>
        <w:rPr>
          <w:rFonts w:hint="eastAsia" w:ascii="仿宋_GB2312" w:hAnsi="黑体" w:eastAsia="仿宋_GB2312"/>
          <w:sz w:val="32"/>
          <w:szCs w:val="32"/>
          <w:lang w:val="en-US" w:eastAsia="zh-CN"/>
        </w:rPr>
        <w:t>.</w:t>
      </w:r>
      <w:r>
        <w:rPr>
          <w:rFonts w:hint="eastAsia" w:hAnsi="黑体"/>
          <w:sz w:val="32"/>
          <w:szCs w:val="32"/>
          <w:lang w:val="en-US" w:eastAsia="zh-CN"/>
        </w:rPr>
        <w:t>1</w:t>
      </w:r>
      <w:r>
        <w:rPr>
          <w:rFonts w:hint="eastAsia" w:ascii="仿宋_GB2312" w:hAnsi="黑体" w:eastAsia="仿宋_GB2312"/>
          <w:sz w:val="32"/>
          <w:szCs w:val="32"/>
          <w:lang w:val="en-US" w:eastAsia="zh-CN"/>
        </w:rPr>
        <w:t>2%；</w:t>
      </w:r>
      <w:r>
        <w:rPr>
          <w:rFonts w:hint="eastAsia" w:ascii="仿宋_GB2312" w:hAnsi="黑体" w:eastAsia="仿宋_GB2312"/>
          <w:sz w:val="32"/>
          <w:szCs w:val="32"/>
          <w:highlight w:val="none"/>
          <w:lang w:val="en-US" w:eastAsia="zh-CN"/>
        </w:rPr>
        <w:t>事业单位经营收入30</w:t>
      </w:r>
      <w:r>
        <w:rPr>
          <w:rFonts w:hint="eastAsia" w:hAnsi="黑体"/>
          <w:sz w:val="32"/>
          <w:szCs w:val="32"/>
          <w:highlight w:val="none"/>
          <w:lang w:val="en-US" w:eastAsia="zh-CN"/>
        </w:rPr>
        <w:t>.00</w:t>
      </w:r>
      <w:r>
        <w:rPr>
          <w:rFonts w:hint="eastAsia" w:ascii="仿宋_GB2312" w:hAnsi="黑体" w:eastAsia="仿宋_GB2312"/>
          <w:sz w:val="32"/>
          <w:szCs w:val="32"/>
          <w:highlight w:val="none"/>
          <w:lang w:val="en-US" w:eastAsia="zh-CN"/>
        </w:rPr>
        <w:t>万元，占0.0</w:t>
      </w:r>
      <w:r>
        <w:rPr>
          <w:rFonts w:hint="eastAsia" w:hAnsi="黑体"/>
          <w:sz w:val="32"/>
          <w:szCs w:val="32"/>
          <w:highlight w:val="none"/>
          <w:lang w:val="en-US" w:eastAsia="zh-CN"/>
        </w:rPr>
        <w:t>8</w:t>
      </w:r>
      <w:r>
        <w:rPr>
          <w:rFonts w:hint="eastAsia" w:ascii="仿宋_GB2312" w:hAnsi="黑体" w:eastAsia="仿宋_GB2312"/>
          <w:sz w:val="32"/>
          <w:szCs w:val="32"/>
          <w:highlight w:val="none"/>
          <w:lang w:val="en-US" w:eastAsia="zh-CN"/>
        </w:rPr>
        <w:t>%；其他收入</w:t>
      </w:r>
      <w:r>
        <w:rPr>
          <w:rFonts w:hint="eastAsia" w:hAnsi="黑体"/>
          <w:sz w:val="32"/>
          <w:szCs w:val="32"/>
          <w:highlight w:val="none"/>
          <w:lang w:val="en-US" w:eastAsia="zh-CN"/>
        </w:rPr>
        <w:t>765.00</w:t>
      </w:r>
      <w:r>
        <w:rPr>
          <w:rFonts w:hint="eastAsia" w:ascii="仿宋_GB2312" w:hAnsi="黑体" w:eastAsia="仿宋_GB2312"/>
          <w:sz w:val="32"/>
          <w:szCs w:val="32"/>
          <w:highlight w:val="none"/>
          <w:lang w:val="en-US" w:eastAsia="zh-CN"/>
        </w:rPr>
        <w:t>万元</w:t>
      </w:r>
      <w:r>
        <w:rPr>
          <w:rFonts w:hint="eastAsia" w:ascii="仿宋_GB2312" w:hAnsi="黑体" w:eastAsia="仿宋_GB2312"/>
          <w:sz w:val="32"/>
          <w:szCs w:val="32"/>
          <w:lang w:val="en-US" w:eastAsia="zh-CN"/>
        </w:rPr>
        <w:t>，占1.</w:t>
      </w:r>
      <w:r>
        <w:rPr>
          <w:rFonts w:hint="eastAsia" w:hAnsi="黑体"/>
          <w:sz w:val="32"/>
          <w:szCs w:val="32"/>
          <w:lang w:val="en-US" w:eastAsia="zh-CN"/>
        </w:rPr>
        <w:t>94</w:t>
      </w:r>
      <w:r>
        <w:rPr>
          <w:rFonts w:hint="eastAsia" w:ascii="仿宋_GB2312" w:hAnsi="黑体" w:eastAsia="仿宋_GB2312"/>
          <w:sz w:val="32"/>
          <w:szCs w:val="32"/>
          <w:lang w:val="en-US" w:eastAsia="zh-CN"/>
        </w:rPr>
        <w:t>%。预算收入比上年预算数</w:t>
      </w:r>
      <w:r>
        <w:rPr>
          <w:rFonts w:hint="eastAsia" w:hAnsi="黑体"/>
          <w:sz w:val="32"/>
          <w:szCs w:val="32"/>
          <w:lang w:val="en-US" w:eastAsia="zh-CN"/>
        </w:rPr>
        <w:t>减少3278.52</w:t>
      </w:r>
      <w:r>
        <w:rPr>
          <w:rFonts w:hint="eastAsia" w:ascii="仿宋_GB2312" w:hAnsi="黑体" w:eastAsia="仿宋_GB2312"/>
          <w:sz w:val="32"/>
          <w:szCs w:val="32"/>
          <w:lang w:val="en-US" w:eastAsia="zh-CN"/>
        </w:rPr>
        <w:t>万元，主要原因是经费拨款收入和财政专户管理资金收入均较</w:t>
      </w:r>
      <w:r>
        <w:rPr>
          <w:rFonts w:hint="eastAsia" w:hAnsi="黑体"/>
          <w:sz w:val="32"/>
          <w:szCs w:val="32"/>
          <w:lang w:val="en-US" w:eastAsia="zh-CN"/>
        </w:rPr>
        <w:t>上</w:t>
      </w:r>
      <w:r>
        <w:rPr>
          <w:rFonts w:hint="eastAsia" w:ascii="仿宋_GB2312" w:hAnsi="黑体" w:eastAsia="仿宋_GB2312"/>
          <w:sz w:val="32"/>
          <w:szCs w:val="32"/>
          <w:lang w:val="en-US" w:eastAsia="zh-CN"/>
        </w:rPr>
        <w:t>年有所</w:t>
      </w:r>
      <w:r>
        <w:rPr>
          <w:rFonts w:hint="eastAsia" w:hAnsi="黑体"/>
          <w:sz w:val="32"/>
          <w:szCs w:val="32"/>
          <w:lang w:val="en-US" w:eastAsia="zh-CN"/>
        </w:rPr>
        <w:t>减少</w:t>
      </w:r>
      <w:r>
        <w:rPr>
          <w:rFonts w:hint="eastAsia"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sz w:val="32"/>
          <w:szCs w:val="32"/>
          <w:highlight w:val="none"/>
          <w:u w:val="none"/>
          <w:lang w:val="en-US" w:eastAsia="zh-CN"/>
        </w:rPr>
        <w:t>八、关于</w:t>
      </w:r>
      <w:r>
        <w:rPr>
          <w:rFonts w:hint="eastAsia" w:ascii="黑体" w:hAnsi="黑体" w:eastAsia="黑体" w:cs="黑体"/>
          <w:sz w:val="32"/>
          <w:szCs w:val="32"/>
          <w:highlight w:val="none"/>
          <w:u w:val="none"/>
          <w:lang w:eastAsia="zh-CN"/>
        </w:rPr>
        <w:t>海南</w:t>
      </w:r>
      <w:r>
        <w:rPr>
          <w:rFonts w:hint="eastAsia" w:ascii="黑体" w:hAnsi="黑体" w:eastAsia="黑体" w:cs="黑体"/>
          <w:sz w:val="32"/>
          <w:szCs w:val="32"/>
          <w:highlight w:val="none"/>
          <w:u w:val="none"/>
          <w:lang w:val="en-US" w:eastAsia="zh-CN"/>
        </w:rPr>
        <w:t>经贸职业技术学院单位2024年支出预算情况说明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学院2024年支出预算39,330.71万元，其中：基本支出24,496.45万元，占62.28%；项目支出14,834.26万元，占37.72%。比上年预算数减少3,284.52万元，主要原因是学院第一轮双高计划建设任务结束。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kern w:val="2"/>
          <w:sz w:val="32"/>
          <w:szCs w:val="32"/>
          <w:highlight w:val="none"/>
          <w:u w:val="none"/>
          <w:lang w:val="en-US" w:eastAsia="zh-CN" w:bidi="ar-SA"/>
        </w:rPr>
      </w:pPr>
      <w:r>
        <w:rPr>
          <w:rFonts w:hint="eastAsia" w:ascii="黑体" w:hAnsi="黑体" w:eastAsia="黑体" w:cs="黑体"/>
          <w:sz w:val="32"/>
          <w:szCs w:val="32"/>
          <w:highlight w:val="none"/>
          <w:u w:val="none"/>
          <w:lang w:val="en-US" w:eastAsia="zh-CN"/>
        </w:rPr>
        <w:t>九、其他重要事项的情况说明</w:t>
      </w:r>
    </w:p>
    <w:p>
      <w:pPr>
        <w:ind w:firstLine="640"/>
        <w:jc w:val="left"/>
        <w:rPr>
          <w:rFonts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（一）政府性基金预算当年规模变化情况</w:t>
      </w:r>
    </w:p>
    <w:p>
      <w:pPr>
        <w:ind w:firstLine="640" w:firstLineChars="200"/>
        <w:rPr>
          <w:rFonts w:hint="eastAsia" w:ascii="楷体" w:hAnsi="楷体" w:eastAsia="楷体" w:cstheme="minorBidi"/>
          <w:kern w:val="2"/>
          <w:sz w:val="32"/>
          <w:szCs w:val="32"/>
          <w:u w:val="none"/>
          <w:lang w:val="en-US" w:eastAsia="zh-CN" w:bidi="ar-SA"/>
        </w:rPr>
      </w:pPr>
      <w:r>
        <w:rPr>
          <w:rFonts w:hint="eastAsia" w:ascii="仿宋_GB2312" w:hAnsi="黑体" w:eastAsia="仿宋_GB2312"/>
          <w:sz w:val="32"/>
          <w:szCs w:val="32"/>
          <w:lang w:val="en-US" w:eastAsia="zh-CN"/>
        </w:rPr>
        <w:t>海南经贸职业技术学院单位</w:t>
      </w:r>
      <w:r>
        <w:rPr>
          <w:rFonts w:hint="eastAsia" w:ascii="仿宋_GB2312" w:hAnsi="黑体" w:eastAsia="仿宋_GB2312"/>
          <w:color w:val="000000" w:themeColor="text1"/>
          <w:sz w:val="32"/>
          <w:szCs w:val="32"/>
          <w:u w:val="none"/>
          <w:lang w:val="en-US" w:eastAsia="zh-CN"/>
          <w14:textFill>
            <w14:solidFill>
              <w14:schemeClr w14:val="tx1"/>
            </w14:solidFill>
          </w14:textFill>
        </w:rPr>
        <w:t>2024</w:t>
      </w:r>
      <w:r>
        <w:rPr>
          <w:rFonts w:hint="eastAsia" w:ascii="仿宋_GB2312" w:hAnsi="黑体" w:eastAsia="仿宋_GB2312"/>
          <w:color w:val="000000" w:themeColor="text1"/>
          <w:sz w:val="32"/>
          <w:szCs w:val="32"/>
          <w:u w:val="none"/>
          <w14:textFill>
            <w14:solidFill>
              <w14:schemeClr w14:val="tx1"/>
            </w14:solidFill>
          </w14:textFill>
        </w:rPr>
        <w:t>年政府性基金预算当年拨款</w:t>
      </w:r>
      <w:r>
        <w:rPr>
          <w:rFonts w:hint="eastAsia" w:ascii="仿宋_GB2312" w:hAnsi="黑体" w:eastAsia="仿宋_GB2312" w:cs="仿宋_GB2312"/>
          <w:color w:val="000000" w:themeColor="text1"/>
          <w:sz w:val="32"/>
          <w:szCs w:val="32"/>
          <w:u w:val="none"/>
          <w:lang w:eastAsia="zh-CN"/>
          <w14:textFill>
            <w14:solidFill>
              <w14:schemeClr w14:val="tx1"/>
            </w14:solidFill>
          </w14:textFill>
        </w:rPr>
        <w:t>0</w:t>
      </w:r>
      <w:r>
        <w:rPr>
          <w:rFonts w:hint="eastAsia" w:ascii="仿宋_GB2312" w:hAnsi="黑体" w:eastAsia="仿宋_GB2312"/>
          <w:color w:val="000000" w:themeColor="text1"/>
          <w:sz w:val="32"/>
          <w:szCs w:val="32"/>
          <w:u w:val="none"/>
          <w14:textFill>
            <w14:solidFill>
              <w14:schemeClr w14:val="tx1"/>
            </w14:solidFill>
          </w14:textFill>
        </w:rPr>
        <w:t>万元，</w:t>
      </w:r>
      <w:r>
        <w:rPr>
          <w:rFonts w:hint="eastAsia" w:ascii="仿宋_GB2312" w:hAnsi="黑体" w:eastAsia="仿宋_GB2312"/>
          <w:color w:val="000000" w:themeColor="text1"/>
          <w:sz w:val="32"/>
          <w:szCs w:val="32"/>
          <w:u w:val="none"/>
          <w:lang w:eastAsia="zh-CN"/>
          <w14:textFill>
            <w14:solidFill>
              <w14:schemeClr w14:val="tx1"/>
            </w14:solidFill>
          </w14:textFill>
        </w:rPr>
        <w:t>与上年持平。</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theme="minorBidi"/>
          <w:kern w:val="2"/>
          <w:sz w:val="32"/>
          <w:szCs w:val="32"/>
          <w:u w:val="none"/>
          <w:lang w:val="en-US" w:eastAsia="zh-CN" w:bidi="ar-SA"/>
        </w:rPr>
      </w:pPr>
      <w:r>
        <w:rPr>
          <w:rFonts w:hint="eastAsia" w:ascii="楷体" w:hAnsi="楷体" w:eastAsia="楷体" w:cstheme="minorBidi"/>
          <w:kern w:val="2"/>
          <w:sz w:val="32"/>
          <w:szCs w:val="32"/>
          <w:u w:val="none"/>
          <w:lang w:val="en-US" w:eastAsia="zh-CN" w:bidi="ar-SA"/>
        </w:rPr>
        <w:t>（二）政府采购情况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hAnsi="黑体"/>
          <w:sz w:val="32"/>
          <w:szCs w:val="32"/>
          <w:lang w:val="en-US" w:eastAsia="zh-CN"/>
        </w:rPr>
        <w:t>2024年</w:t>
      </w:r>
      <w:r>
        <w:rPr>
          <w:rFonts w:hint="eastAsia" w:ascii="仿宋_GB2312" w:hAnsi="黑体" w:eastAsia="仿宋_GB2312"/>
          <w:sz w:val="32"/>
          <w:szCs w:val="32"/>
          <w:lang w:val="en-US" w:eastAsia="zh-CN"/>
        </w:rPr>
        <w:t>海南经贸职业技术学院单位政府采购预算总额</w:t>
      </w:r>
      <w:r>
        <w:rPr>
          <w:rFonts w:hint="eastAsia" w:hAnsi="黑体"/>
          <w:sz w:val="32"/>
          <w:szCs w:val="32"/>
          <w:lang w:val="en-US" w:eastAsia="zh-CN"/>
        </w:rPr>
        <w:t>2162.92</w:t>
      </w:r>
      <w:r>
        <w:rPr>
          <w:rFonts w:hint="eastAsia" w:ascii="仿宋_GB2312" w:hAnsi="黑体" w:eastAsia="仿宋_GB2312"/>
          <w:sz w:val="32"/>
          <w:szCs w:val="32"/>
          <w:lang w:val="en-US" w:eastAsia="zh-CN"/>
        </w:rPr>
        <w:t>万元，其中：政府采购货物预算</w:t>
      </w:r>
      <w:r>
        <w:rPr>
          <w:rFonts w:hint="eastAsia" w:hAnsi="黑体"/>
          <w:sz w:val="32"/>
          <w:szCs w:val="32"/>
          <w:lang w:val="en-US" w:eastAsia="zh-CN"/>
        </w:rPr>
        <w:t>251.36</w:t>
      </w:r>
      <w:r>
        <w:rPr>
          <w:rFonts w:hint="eastAsia" w:ascii="仿宋_GB2312" w:hAnsi="黑体" w:eastAsia="仿宋_GB2312"/>
          <w:sz w:val="32"/>
          <w:szCs w:val="32"/>
          <w:lang w:val="en-US" w:eastAsia="zh-CN"/>
        </w:rPr>
        <w:t>万元，政府采购服务预算</w:t>
      </w:r>
      <w:r>
        <w:rPr>
          <w:rFonts w:hint="eastAsia" w:hAnsi="黑体"/>
          <w:sz w:val="32"/>
          <w:szCs w:val="32"/>
          <w:lang w:val="en-US" w:eastAsia="zh-CN"/>
        </w:rPr>
        <w:t>1911.56</w:t>
      </w:r>
      <w:r>
        <w:rPr>
          <w:rFonts w:hint="eastAsia" w:ascii="仿宋_GB2312" w:hAnsi="黑体" w:eastAsia="仿宋_GB2312"/>
          <w:sz w:val="32"/>
          <w:szCs w:val="32"/>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theme="minorBidi"/>
          <w:kern w:val="2"/>
          <w:sz w:val="32"/>
          <w:szCs w:val="32"/>
          <w:u w:val="none"/>
          <w:lang w:val="en-US" w:eastAsia="zh-CN" w:bidi="ar-SA"/>
        </w:rPr>
      </w:pPr>
      <w:r>
        <w:rPr>
          <w:rFonts w:hint="eastAsia" w:ascii="楷体" w:hAnsi="楷体" w:eastAsia="楷体" w:cstheme="minorBidi"/>
          <w:kern w:val="2"/>
          <w:sz w:val="32"/>
          <w:szCs w:val="32"/>
          <w:u w:val="none"/>
          <w:lang w:val="en-US" w:eastAsia="zh-CN" w:bidi="ar-SA"/>
        </w:rPr>
        <w:t>（三）国有资产占有使用情况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截至</w:t>
      </w:r>
      <w:r>
        <w:rPr>
          <w:rFonts w:hint="eastAsia" w:hAnsi="黑体"/>
          <w:sz w:val="32"/>
          <w:szCs w:val="32"/>
          <w:lang w:val="en-US" w:eastAsia="zh-CN"/>
        </w:rPr>
        <w:t>2023</w:t>
      </w:r>
      <w:r>
        <w:rPr>
          <w:rFonts w:hint="eastAsia" w:ascii="仿宋_GB2312" w:hAnsi="黑体" w:eastAsia="仿宋_GB2312"/>
          <w:sz w:val="32"/>
          <w:szCs w:val="32"/>
          <w:lang w:val="en-US" w:eastAsia="zh-CN"/>
        </w:rPr>
        <w:t>年12月31日</w:t>
      </w:r>
      <w:r>
        <w:rPr>
          <w:rFonts w:hint="eastAsia" w:hAnsi="黑体"/>
          <w:sz w:val="32"/>
          <w:szCs w:val="32"/>
          <w:lang w:val="en-US" w:eastAsia="zh-CN"/>
        </w:rPr>
        <w:t>，</w:t>
      </w:r>
      <w:r>
        <w:rPr>
          <w:rFonts w:hint="eastAsia" w:ascii="仿宋_GB2312" w:hAnsi="黑体" w:eastAsia="仿宋_GB2312"/>
          <w:sz w:val="32"/>
          <w:szCs w:val="32"/>
          <w:lang w:val="en-US" w:eastAsia="zh-CN"/>
        </w:rPr>
        <w:t>海南经贸职业技术学院单位</w:t>
      </w:r>
      <w:r>
        <w:rPr>
          <w:rFonts w:hint="eastAsia" w:hAnsi="黑体"/>
          <w:sz w:val="32"/>
          <w:szCs w:val="32"/>
          <w:lang w:val="en-US" w:eastAsia="zh-CN"/>
        </w:rPr>
        <w:t>学院</w:t>
      </w:r>
      <w:r>
        <w:rPr>
          <w:rFonts w:hint="eastAsia" w:ascii="仿宋_GB2312" w:hAnsi="黑体" w:eastAsia="仿宋_GB2312"/>
          <w:sz w:val="32"/>
          <w:szCs w:val="32"/>
          <w:lang w:val="en-US" w:eastAsia="zh-CN"/>
        </w:rPr>
        <w:t>共有车辆</w:t>
      </w:r>
      <w:r>
        <w:rPr>
          <w:rFonts w:hint="eastAsia" w:hAnsi="黑体"/>
          <w:sz w:val="32"/>
          <w:szCs w:val="32"/>
          <w:lang w:val="en-US" w:eastAsia="zh-CN"/>
        </w:rPr>
        <w:t>5</w:t>
      </w:r>
      <w:r>
        <w:rPr>
          <w:rFonts w:hint="eastAsia" w:ascii="仿宋_GB2312" w:hAnsi="黑体" w:eastAsia="仿宋_GB2312"/>
          <w:sz w:val="32"/>
          <w:szCs w:val="32"/>
          <w:lang w:val="en-US" w:eastAsia="zh-CN"/>
        </w:rPr>
        <w:t>辆，其中，领导干部用车2辆，机要通信应急用车</w:t>
      </w:r>
      <w:r>
        <w:rPr>
          <w:rFonts w:hint="eastAsia" w:hAnsi="黑体"/>
          <w:sz w:val="32"/>
          <w:szCs w:val="32"/>
          <w:lang w:val="en-US" w:eastAsia="zh-CN"/>
        </w:rPr>
        <w:t>2</w:t>
      </w:r>
      <w:r>
        <w:rPr>
          <w:rFonts w:hint="eastAsia" w:ascii="仿宋_GB2312" w:hAnsi="黑体" w:eastAsia="仿宋_GB2312"/>
          <w:sz w:val="32"/>
          <w:szCs w:val="32"/>
          <w:lang w:val="en-US" w:eastAsia="zh-CN"/>
        </w:rPr>
        <w:t>辆、特种专业技术用车1辆。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theme="minorBidi"/>
          <w:kern w:val="2"/>
          <w:sz w:val="32"/>
          <w:szCs w:val="32"/>
          <w:u w:val="none"/>
          <w:lang w:val="en-US" w:eastAsia="zh-CN" w:bidi="ar-SA"/>
        </w:rPr>
      </w:pPr>
      <w:r>
        <w:rPr>
          <w:rFonts w:hint="eastAsia" w:ascii="楷体" w:hAnsi="楷体" w:eastAsia="楷体" w:cstheme="minorBidi"/>
          <w:kern w:val="2"/>
          <w:sz w:val="32"/>
          <w:szCs w:val="32"/>
          <w:u w:val="none"/>
          <w:lang w:val="en-US" w:eastAsia="zh-CN" w:bidi="ar-SA"/>
        </w:rPr>
        <w:t>（四）绩效目标设置及重点项目绩效目标说明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hAnsi="黑体"/>
          <w:sz w:val="32"/>
          <w:szCs w:val="32"/>
          <w:lang w:val="en-US" w:eastAsia="zh-CN"/>
        </w:rPr>
        <w:t>2024</w:t>
      </w:r>
      <w:r>
        <w:rPr>
          <w:rFonts w:hint="eastAsia" w:ascii="仿宋_GB2312" w:hAnsi="黑体" w:eastAsia="仿宋_GB2312"/>
          <w:sz w:val="32"/>
          <w:szCs w:val="32"/>
          <w:lang w:val="en-US" w:eastAsia="zh-CN"/>
        </w:rPr>
        <w:t>年</w:t>
      </w:r>
      <w:r>
        <w:rPr>
          <w:rFonts w:hint="eastAsia" w:hAnsi="黑体"/>
          <w:sz w:val="32"/>
          <w:szCs w:val="32"/>
          <w:lang w:val="en-US" w:eastAsia="zh-CN"/>
        </w:rPr>
        <w:t>学院30</w:t>
      </w:r>
      <w:r>
        <w:rPr>
          <w:rFonts w:hint="eastAsia" w:ascii="仿宋_GB2312" w:hAnsi="黑体" w:eastAsia="仿宋_GB2312"/>
          <w:sz w:val="32"/>
          <w:szCs w:val="32"/>
          <w:lang w:val="en-US" w:eastAsia="zh-CN"/>
        </w:rPr>
        <w:t>个项目实行绩效目标管理，涉及一般公共预算24,892.49万元、财政专户管理资金</w:t>
      </w:r>
      <w:r>
        <w:rPr>
          <w:rFonts w:hint="eastAsia" w:hAnsi="黑体"/>
          <w:sz w:val="32"/>
          <w:szCs w:val="32"/>
          <w:lang w:val="en-US" w:eastAsia="zh-CN"/>
        </w:rPr>
        <w:t>11</w:t>
      </w:r>
      <w:r>
        <w:rPr>
          <w:rFonts w:hint="eastAsia" w:ascii="仿宋_GB2312" w:hAnsi="黑体" w:eastAsia="仿宋_GB2312"/>
          <w:sz w:val="32"/>
          <w:szCs w:val="32"/>
          <w:lang w:val="en-US" w:eastAsia="zh-CN"/>
        </w:rPr>
        <w:t>,700.00万元、</w:t>
      </w:r>
      <w:r>
        <w:rPr>
          <w:rFonts w:hint="eastAsia" w:hAnsi="黑体"/>
          <w:sz w:val="32"/>
          <w:szCs w:val="32"/>
          <w:lang w:val="en-US" w:eastAsia="zh-CN"/>
        </w:rPr>
        <w:t>单位资金989.00万元</w:t>
      </w:r>
      <w:r>
        <w:rPr>
          <w:rFonts w:hint="eastAsia" w:ascii="仿宋_GB2312" w:hAnsi="黑体"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学生资助补助项目（高校）项目，预算安排1572.70万元，主要用于发放来琼留学生省政府奖学金、本专科国家助学金、省优秀贫困大学生奖学金、本专科退役士兵国家助学金及、国家助学贷款奖补资金等，绩效目标是基层就业代偿人数大于等于4人、国家励志奖学金发放人数大于等于400人、本专科生国家奖学金奖励人数大于等于13人、补贴发放准确率大于等于90%、学生满意度大于等于90%，学生应补尽补率大于等于90%。</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2.试点项目和教育提质培优项目，预算安排1</w:t>
      </w:r>
      <w:r>
        <w:rPr>
          <w:rFonts w:hint="eastAsia" w:hAnsi="黑体"/>
          <w:sz w:val="32"/>
          <w:szCs w:val="32"/>
          <w:lang w:val="en-US" w:eastAsia="zh-CN"/>
        </w:rPr>
        <w:t>,</w:t>
      </w:r>
      <w:r>
        <w:rPr>
          <w:rFonts w:hint="eastAsia" w:ascii="仿宋_GB2312" w:hAnsi="黑体" w:eastAsia="仿宋_GB2312"/>
          <w:sz w:val="32"/>
          <w:szCs w:val="32"/>
          <w:lang w:val="en-US" w:eastAsia="zh-CN"/>
        </w:rPr>
        <w:t>103</w:t>
      </w:r>
      <w:r>
        <w:rPr>
          <w:rFonts w:hint="eastAsia" w:hAnsi="黑体"/>
          <w:sz w:val="32"/>
          <w:szCs w:val="32"/>
          <w:lang w:val="en-US" w:eastAsia="zh-CN"/>
        </w:rPr>
        <w:t>.00</w:t>
      </w:r>
      <w:r>
        <w:rPr>
          <w:rFonts w:hint="eastAsia" w:ascii="仿宋_GB2312" w:hAnsi="黑体" w:eastAsia="仿宋_GB2312"/>
          <w:sz w:val="32"/>
          <w:szCs w:val="32"/>
          <w:lang w:val="en-US" w:eastAsia="zh-CN"/>
        </w:rPr>
        <w:t>万元，用于支付试点项目招收中职毕业生学费补助及技能大赛国赛奖励经费，实现职业教育人才培养与招生试点项目有关目标。绩效目标是2024年试点项目资助学生人数大于等于</w:t>
      </w:r>
      <w:r>
        <w:rPr>
          <w:rFonts w:hint="eastAsia" w:hAnsi="黑体"/>
          <w:sz w:val="32"/>
          <w:szCs w:val="32"/>
          <w:lang w:val="en-US" w:eastAsia="zh-CN"/>
        </w:rPr>
        <w:t>21</w:t>
      </w:r>
      <w:r>
        <w:rPr>
          <w:rFonts w:hint="eastAsia" w:ascii="仿宋_GB2312" w:hAnsi="黑体" w:eastAsia="仿宋_GB2312"/>
          <w:sz w:val="32"/>
          <w:szCs w:val="32"/>
          <w:lang w:val="en-US" w:eastAsia="zh-CN"/>
        </w:rPr>
        <w:t>00人</w:t>
      </w:r>
      <w:r>
        <w:rPr>
          <w:rFonts w:hint="eastAsia" w:hAnsi="黑体"/>
          <w:sz w:val="32"/>
          <w:szCs w:val="32"/>
          <w:lang w:val="en-US" w:eastAsia="zh-CN"/>
        </w:rPr>
        <w:t>、高职毕业生就业率</w:t>
      </w:r>
      <w:r>
        <w:rPr>
          <w:rFonts w:hint="eastAsia" w:ascii="仿宋_GB2312" w:hAnsi="黑体" w:eastAsia="仿宋_GB2312"/>
          <w:sz w:val="32"/>
          <w:szCs w:val="32"/>
          <w:lang w:val="en-US" w:eastAsia="zh-CN"/>
        </w:rPr>
        <w:t>大于等于90%</w:t>
      </w:r>
      <w:r>
        <w:rPr>
          <w:rFonts w:hint="eastAsia" w:hAnsi="黑体"/>
          <w:sz w:val="32"/>
          <w:szCs w:val="32"/>
          <w:lang w:val="en-US" w:eastAsia="zh-CN"/>
        </w:rPr>
        <w:t>、试点项目促进学校持续发展大于等于3年、学生专业技能提升大于等于50%、</w:t>
      </w:r>
      <w:r>
        <w:rPr>
          <w:rFonts w:hint="eastAsia" w:ascii="仿宋_GB2312" w:hAnsi="黑体" w:eastAsia="仿宋_GB2312"/>
          <w:sz w:val="32"/>
          <w:szCs w:val="32"/>
          <w:lang w:val="en-US" w:eastAsia="zh-CN"/>
        </w:rPr>
        <w:t>学生满意度大于等于90%。</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3.教学管理提升工程项目，预算安排4058.85万元，主要用于教学管理质量提升、学生活动、科研配套支持，绩效目标是学生军训人数</w:t>
      </w:r>
      <w:r>
        <w:rPr>
          <w:rFonts w:hint="eastAsia" w:ascii="仿宋_GB2312" w:hAnsi="黑体" w:eastAsia="仿宋_GB2312"/>
          <w:sz w:val="32"/>
          <w:szCs w:val="32"/>
          <w:lang w:val="en-US" w:eastAsia="zh-CN"/>
        </w:rPr>
        <w:t>大于等于</w:t>
      </w:r>
      <w:r>
        <w:rPr>
          <w:rFonts w:hint="eastAsia" w:hAnsi="黑体"/>
          <w:sz w:val="32"/>
          <w:szCs w:val="32"/>
          <w:lang w:val="en-US" w:eastAsia="zh-CN"/>
        </w:rPr>
        <w:t>3000人次、参加技能赛项数量</w:t>
      </w:r>
      <w:r>
        <w:rPr>
          <w:rFonts w:hint="eastAsia" w:ascii="仿宋_GB2312" w:hAnsi="黑体" w:eastAsia="仿宋_GB2312"/>
          <w:sz w:val="32"/>
          <w:szCs w:val="32"/>
          <w:lang w:val="en-US" w:eastAsia="zh-CN"/>
        </w:rPr>
        <w:t>大于等于</w:t>
      </w:r>
      <w:r>
        <w:rPr>
          <w:rFonts w:hint="eastAsia" w:hAnsi="黑体"/>
          <w:sz w:val="32"/>
          <w:szCs w:val="32"/>
          <w:lang w:val="en-US" w:eastAsia="zh-CN"/>
        </w:rPr>
        <w:t>100项、省级技能赛项获奖数量</w:t>
      </w:r>
      <w:r>
        <w:rPr>
          <w:rFonts w:hint="eastAsia" w:ascii="仿宋_GB2312" w:hAnsi="黑体" w:eastAsia="仿宋_GB2312"/>
          <w:sz w:val="32"/>
          <w:szCs w:val="32"/>
          <w:lang w:val="en-US" w:eastAsia="zh-CN"/>
        </w:rPr>
        <w:t>大于等于</w:t>
      </w:r>
      <w:r>
        <w:rPr>
          <w:rFonts w:hint="eastAsia" w:hAnsi="黑体"/>
          <w:sz w:val="32"/>
          <w:szCs w:val="32"/>
          <w:lang w:val="en-US" w:eastAsia="zh-CN"/>
        </w:rPr>
        <w:t>5项、教师教学水平定性提升、数据库检索覆盖率</w:t>
      </w:r>
      <w:r>
        <w:rPr>
          <w:rFonts w:hint="eastAsia" w:ascii="仿宋_GB2312" w:hAnsi="黑体" w:eastAsia="仿宋_GB2312"/>
          <w:sz w:val="32"/>
          <w:szCs w:val="32"/>
          <w:lang w:val="en-US" w:eastAsia="zh-CN"/>
        </w:rPr>
        <w:t>大于等于</w:t>
      </w:r>
      <w:r>
        <w:rPr>
          <w:rFonts w:hint="eastAsia" w:hAnsi="黑体"/>
          <w:sz w:val="32"/>
          <w:szCs w:val="32"/>
          <w:lang w:val="en-US" w:eastAsia="zh-CN"/>
        </w:rPr>
        <w:t>90%、师生满意度</w:t>
      </w:r>
      <w:r>
        <w:rPr>
          <w:rFonts w:hint="eastAsia" w:ascii="仿宋_GB2312" w:hAnsi="黑体" w:eastAsia="仿宋_GB2312"/>
          <w:sz w:val="32"/>
          <w:szCs w:val="32"/>
          <w:lang w:val="en-US" w:eastAsia="zh-CN"/>
        </w:rPr>
        <w:t>大于等于</w:t>
      </w:r>
      <w:r>
        <w:rPr>
          <w:rFonts w:hint="eastAsia" w:hAnsi="黑体"/>
          <w:sz w:val="32"/>
          <w:szCs w:val="32"/>
          <w:lang w:val="en-US" w:eastAsia="zh-CN"/>
        </w:rPr>
        <w:t>90%。</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hAnsi="黑体"/>
          <w:sz w:val="32"/>
          <w:szCs w:val="32"/>
          <w:lang w:val="en-US" w:eastAsia="zh-CN"/>
        </w:rPr>
      </w:pPr>
      <w:r>
        <w:rPr>
          <w:rFonts w:hint="eastAsia" w:hAnsi="黑体"/>
          <w:sz w:val="32"/>
          <w:szCs w:val="32"/>
          <w:lang w:val="en-US" w:eastAsia="zh-CN"/>
        </w:rPr>
        <w:t>4.校园环境基础设施建设与维护项目，预算安排2966.05万元，主要用于完成校园基础设施维护建设，绩效目标是受益人数</w:t>
      </w:r>
      <w:r>
        <w:rPr>
          <w:rFonts w:hint="eastAsia" w:ascii="仿宋_GB2312" w:hAnsi="黑体" w:eastAsia="仿宋_GB2312"/>
          <w:sz w:val="32"/>
          <w:szCs w:val="32"/>
          <w:lang w:val="en-US" w:eastAsia="zh-CN"/>
        </w:rPr>
        <w:t>大于等于</w:t>
      </w:r>
      <w:r>
        <w:rPr>
          <w:rFonts w:hint="eastAsia" w:hAnsi="黑体"/>
          <w:sz w:val="32"/>
          <w:szCs w:val="32"/>
          <w:lang w:val="en-US" w:eastAsia="zh-CN"/>
        </w:rPr>
        <w:t>10000人、加装电梯数量</w:t>
      </w:r>
      <w:r>
        <w:rPr>
          <w:rFonts w:hint="eastAsia" w:ascii="仿宋_GB2312" w:hAnsi="黑体" w:eastAsia="仿宋_GB2312"/>
          <w:sz w:val="32"/>
          <w:szCs w:val="32"/>
          <w:lang w:val="en-US" w:eastAsia="zh-CN"/>
        </w:rPr>
        <w:t>大于等于</w:t>
      </w:r>
      <w:r>
        <w:rPr>
          <w:rFonts w:hint="eastAsia" w:hAnsi="黑体"/>
          <w:sz w:val="32"/>
          <w:szCs w:val="32"/>
          <w:lang w:val="en-US" w:eastAsia="zh-CN"/>
        </w:rPr>
        <w:t>8部、2024年大型修缮支出成本小于等于910.00万元、促进学校可持续发展大于等于3年、师生满意度大于等于90%。</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hAnsi="黑体"/>
          <w:sz w:val="32"/>
          <w:szCs w:val="32"/>
          <w:lang w:val="en-US" w:eastAsia="zh-CN"/>
        </w:rPr>
      </w:pPr>
    </w:p>
    <w:p>
      <w:pPr>
        <w:ind w:firstLine="640" w:firstLineChars="200"/>
        <w:jc w:val="center"/>
        <w:rPr>
          <w:rFonts w:hint="eastAsia" w:ascii="黑体" w:hAnsi="黑体" w:eastAsia="黑体" w:cstheme="minorBidi"/>
          <w:kern w:val="2"/>
          <w:sz w:val="32"/>
          <w:szCs w:val="32"/>
          <w:u w:val="none"/>
          <w:lang w:val="en-US" w:eastAsia="zh-CN" w:bidi="ar-SA"/>
        </w:rPr>
      </w:pPr>
      <w:r>
        <w:rPr>
          <w:rFonts w:hint="eastAsia" w:ascii="黑体" w:hAnsi="黑体" w:eastAsia="黑体" w:cstheme="minorBidi"/>
          <w:kern w:val="2"/>
          <w:sz w:val="32"/>
          <w:szCs w:val="32"/>
          <w:u w:val="none"/>
          <w:lang w:val="en-US" w:eastAsia="zh-CN" w:bidi="ar-SA"/>
        </w:rPr>
        <w:t>第四部分  名词解释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5934"/>
    <w:multiLevelType w:val="singleLevel"/>
    <w:tmpl w:val="04B35934"/>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DRjMzcxYTM1NTI4YzEyN2NkMzdkNzU1MjI3ZjcifQ=="/>
  </w:docVars>
  <w:rsids>
    <w:rsidRoot w:val="00000000"/>
    <w:rsid w:val="005D4603"/>
    <w:rsid w:val="00D8283F"/>
    <w:rsid w:val="02B118BD"/>
    <w:rsid w:val="03DE5A5A"/>
    <w:rsid w:val="043070B8"/>
    <w:rsid w:val="049F37E8"/>
    <w:rsid w:val="04E11CA6"/>
    <w:rsid w:val="05084FE5"/>
    <w:rsid w:val="0559782B"/>
    <w:rsid w:val="05D47115"/>
    <w:rsid w:val="05ED287B"/>
    <w:rsid w:val="06A74829"/>
    <w:rsid w:val="06BA4485"/>
    <w:rsid w:val="073065CD"/>
    <w:rsid w:val="075C76BD"/>
    <w:rsid w:val="07F740B1"/>
    <w:rsid w:val="081D0B30"/>
    <w:rsid w:val="09863BAB"/>
    <w:rsid w:val="09CD37D2"/>
    <w:rsid w:val="0B1A7CC0"/>
    <w:rsid w:val="0BCB7D63"/>
    <w:rsid w:val="0BF02967"/>
    <w:rsid w:val="0E830B15"/>
    <w:rsid w:val="0F5B2655"/>
    <w:rsid w:val="0F615EBD"/>
    <w:rsid w:val="0F6270FC"/>
    <w:rsid w:val="0F6C4862"/>
    <w:rsid w:val="0FA40032"/>
    <w:rsid w:val="102F7D69"/>
    <w:rsid w:val="10341ED8"/>
    <w:rsid w:val="109F5842"/>
    <w:rsid w:val="11005262"/>
    <w:rsid w:val="11EF525A"/>
    <w:rsid w:val="1213282A"/>
    <w:rsid w:val="123D2EED"/>
    <w:rsid w:val="13111E52"/>
    <w:rsid w:val="1357641D"/>
    <w:rsid w:val="137D0DEC"/>
    <w:rsid w:val="13EF4781"/>
    <w:rsid w:val="13F82B68"/>
    <w:rsid w:val="1483257C"/>
    <w:rsid w:val="14BF5434"/>
    <w:rsid w:val="152A2532"/>
    <w:rsid w:val="177A3491"/>
    <w:rsid w:val="18096B68"/>
    <w:rsid w:val="18B828C6"/>
    <w:rsid w:val="19713673"/>
    <w:rsid w:val="198C3E3E"/>
    <w:rsid w:val="1A5D54D3"/>
    <w:rsid w:val="1A7016AA"/>
    <w:rsid w:val="1BBD4D20"/>
    <w:rsid w:val="1BD21EF1"/>
    <w:rsid w:val="1C7E6076"/>
    <w:rsid w:val="1C9B1CBC"/>
    <w:rsid w:val="1CED6FE2"/>
    <w:rsid w:val="1E6813CF"/>
    <w:rsid w:val="1E784EB8"/>
    <w:rsid w:val="1E97058F"/>
    <w:rsid w:val="1F0B3750"/>
    <w:rsid w:val="1F0B4AB8"/>
    <w:rsid w:val="1F306102"/>
    <w:rsid w:val="1F7237CF"/>
    <w:rsid w:val="20455B10"/>
    <w:rsid w:val="21350BBB"/>
    <w:rsid w:val="219321C8"/>
    <w:rsid w:val="21AF6559"/>
    <w:rsid w:val="23C61F0F"/>
    <w:rsid w:val="23DD71A1"/>
    <w:rsid w:val="24CC6E1D"/>
    <w:rsid w:val="250B119F"/>
    <w:rsid w:val="26217CFD"/>
    <w:rsid w:val="265B6F05"/>
    <w:rsid w:val="26F22C39"/>
    <w:rsid w:val="270D51E4"/>
    <w:rsid w:val="292B6BCB"/>
    <w:rsid w:val="2959676C"/>
    <w:rsid w:val="2996455E"/>
    <w:rsid w:val="2A6A5849"/>
    <w:rsid w:val="2B7B1CD4"/>
    <w:rsid w:val="2C5E360E"/>
    <w:rsid w:val="2CB03B88"/>
    <w:rsid w:val="2CF5626A"/>
    <w:rsid w:val="2E832635"/>
    <w:rsid w:val="2FDE737D"/>
    <w:rsid w:val="301937F3"/>
    <w:rsid w:val="30EE67D7"/>
    <w:rsid w:val="311B5DA2"/>
    <w:rsid w:val="31364371"/>
    <w:rsid w:val="34BD32E6"/>
    <w:rsid w:val="35A1162C"/>
    <w:rsid w:val="35A235EE"/>
    <w:rsid w:val="3688599E"/>
    <w:rsid w:val="379B1FF0"/>
    <w:rsid w:val="37D61FB8"/>
    <w:rsid w:val="38A20D56"/>
    <w:rsid w:val="39CC3879"/>
    <w:rsid w:val="39E50EE2"/>
    <w:rsid w:val="3A0D285A"/>
    <w:rsid w:val="3A414072"/>
    <w:rsid w:val="3A5E12C8"/>
    <w:rsid w:val="3A702500"/>
    <w:rsid w:val="3AB4207F"/>
    <w:rsid w:val="3ABF4D7D"/>
    <w:rsid w:val="3B8701AA"/>
    <w:rsid w:val="3C690021"/>
    <w:rsid w:val="3C9C6A5A"/>
    <w:rsid w:val="3D2B5FDB"/>
    <w:rsid w:val="3DB54F6C"/>
    <w:rsid w:val="3DD358E5"/>
    <w:rsid w:val="3E17658E"/>
    <w:rsid w:val="3E4E2433"/>
    <w:rsid w:val="3E6A71C0"/>
    <w:rsid w:val="3E821F8C"/>
    <w:rsid w:val="3EA74998"/>
    <w:rsid w:val="3EA93A1C"/>
    <w:rsid w:val="3EA94AAF"/>
    <w:rsid w:val="3ED37A9C"/>
    <w:rsid w:val="3EE24777"/>
    <w:rsid w:val="3EFC73B3"/>
    <w:rsid w:val="3F6525B0"/>
    <w:rsid w:val="40286762"/>
    <w:rsid w:val="40657FDE"/>
    <w:rsid w:val="41662610"/>
    <w:rsid w:val="41765DA5"/>
    <w:rsid w:val="428D33A5"/>
    <w:rsid w:val="43687AED"/>
    <w:rsid w:val="441449F5"/>
    <w:rsid w:val="44640865"/>
    <w:rsid w:val="449C6A74"/>
    <w:rsid w:val="454D4E7E"/>
    <w:rsid w:val="461D007A"/>
    <w:rsid w:val="46B62585"/>
    <w:rsid w:val="479954ED"/>
    <w:rsid w:val="480D7C89"/>
    <w:rsid w:val="48F03833"/>
    <w:rsid w:val="492434DC"/>
    <w:rsid w:val="49416B9A"/>
    <w:rsid w:val="495B1DAF"/>
    <w:rsid w:val="4A991232"/>
    <w:rsid w:val="4ACD1371"/>
    <w:rsid w:val="4B674448"/>
    <w:rsid w:val="4BFA3BF8"/>
    <w:rsid w:val="4C8C0DCC"/>
    <w:rsid w:val="4CFB4554"/>
    <w:rsid w:val="4D810322"/>
    <w:rsid w:val="4D964E12"/>
    <w:rsid w:val="4DC078CD"/>
    <w:rsid w:val="4E6F51FA"/>
    <w:rsid w:val="4F097D31"/>
    <w:rsid w:val="4F652159"/>
    <w:rsid w:val="4F6B06F0"/>
    <w:rsid w:val="4F7C6076"/>
    <w:rsid w:val="4FCB2EF6"/>
    <w:rsid w:val="4FF93CCC"/>
    <w:rsid w:val="50526B81"/>
    <w:rsid w:val="50574197"/>
    <w:rsid w:val="52CE22EB"/>
    <w:rsid w:val="53195427"/>
    <w:rsid w:val="54751090"/>
    <w:rsid w:val="54DB3373"/>
    <w:rsid w:val="55894DF3"/>
    <w:rsid w:val="55E71820"/>
    <w:rsid w:val="561E105C"/>
    <w:rsid w:val="563424AA"/>
    <w:rsid w:val="56DA2F13"/>
    <w:rsid w:val="57C5023D"/>
    <w:rsid w:val="59682F71"/>
    <w:rsid w:val="5B555ACD"/>
    <w:rsid w:val="5BFE7BBD"/>
    <w:rsid w:val="5C1E7929"/>
    <w:rsid w:val="5C82129A"/>
    <w:rsid w:val="5CA0283D"/>
    <w:rsid w:val="5D46011A"/>
    <w:rsid w:val="5E0A45F7"/>
    <w:rsid w:val="5E1349BD"/>
    <w:rsid w:val="5E675E1B"/>
    <w:rsid w:val="5F322F1C"/>
    <w:rsid w:val="5F6D2C92"/>
    <w:rsid w:val="635652E8"/>
    <w:rsid w:val="63730E90"/>
    <w:rsid w:val="643E5F3E"/>
    <w:rsid w:val="65F90355"/>
    <w:rsid w:val="66356BB7"/>
    <w:rsid w:val="66BC2B4E"/>
    <w:rsid w:val="66DA5C6E"/>
    <w:rsid w:val="674D483F"/>
    <w:rsid w:val="675461B2"/>
    <w:rsid w:val="67AE07FE"/>
    <w:rsid w:val="67BB2948"/>
    <w:rsid w:val="67BB46D4"/>
    <w:rsid w:val="67CF28BE"/>
    <w:rsid w:val="6824141E"/>
    <w:rsid w:val="68C67424"/>
    <w:rsid w:val="698C182D"/>
    <w:rsid w:val="6A420314"/>
    <w:rsid w:val="6B6437FD"/>
    <w:rsid w:val="6B996DD1"/>
    <w:rsid w:val="6BDB6C29"/>
    <w:rsid w:val="6C861C34"/>
    <w:rsid w:val="6CC346C8"/>
    <w:rsid w:val="6D787015"/>
    <w:rsid w:val="6E9546C4"/>
    <w:rsid w:val="6EFA0E15"/>
    <w:rsid w:val="6F104D12"/>
    <w:rsid w:val="6F871820"/>
    <w:rsid w:val="6F90122F"/>
    <w:rsid w:val="6FF04731"/>
    <w:rsid w:val="70730722"/>
    <w:rsid w:val="707D7D38"/>
    <w:rsid w:val="7094372D"/>
    <w:rsid w:val="719679BC"/>
    <w:rsid w:val="7219726F"/>
    <w:rsid w:val="72F04142"/>
    <w:rsid w:val="7357594D"/>
    <w:rsid w:val="73941F79"/>
    <w:rsid w:val="73BB193B"/>
    <w:rsid w:val="74FF07D6"/>
    <w:rsid w:val="76450D90"/>
    <w:rsid w:val="7726029C"/>
    <w:rsid w:val="77592400"/>
    <w:rsid w:val="77AE0613"/>
    <w:rsid w:val="77FA155C"/>
    <w:rsid w:val="7804209D"/>
    <w:rsid w:val="781B5927"/>
    <w:rsid w:val="781D6752"/>
    <w:rsid w:val="782A14CB"/>
    <w:rsid w:val="7AA80FC8"/>
    <w:rsid w:val="7C4B3191"/>
    <w:rsid w:val="7EAE38AA"/>
    <w:rsid w:val="7F335F35"/>
    <w:rsid w:val="7F4D243B"/>
    <w:rsid w:val="7F7743AB"/>
    <w:rsid w:val="7FEE3921"/>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pPr>
  </w:style>
  <w:style w:type="paragraph" w:styleId="3">
    <w:name w:val="Body Text Indent"/>
    <w:basedOn w:val="1"/>
    <w:autoRedefine/>
    <w:qFormat/>
    <w:uiPriority w:val="0"/>
    <w:pPr>
      <w:spacing w:line="460" w:lineRule="exact"/>
      <w:ind w:firstLine="640"/>
    </w:pPr>
    <w:rPr>
      <w:rFonts w:ascii="仿宋_GB2312" w:eastAsia="仿宋_GB2312"/>
      <w:sz w:val="32"/>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2024-02-13T11:48:00Z</dcterms:created>
  <dc:creator>970727</dc:creator>
  <cp:lastModifiedBy>天台小当家</cp:lastModifiedBy>
  <dcterms:modified xsi:type="dcterms:W3CDTF">2024-02-29T01:05:37Z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1D5CA25EC03540ECB6C16094B02BE72B_12</vt:lpwstr>
  </property>
</Properties>
</file>